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075"/>
        <w:gridCol w:w="1195"/>
        <w:gridCol w:w="9235"/>
      </w:tblGrid>
      <w:tr w:rsidR="00F1710A" w:rsidRPr="009F145E" w14:paraId="0C1EC589" w14:textId="77777777" w:rsidTr="00F1710A">
        <w:trPr>
          <w:trHeight w:val="290"/>
          <w:jc w:val="center"/>
        </w:trPr>
        <w:tc>
          <w:tcPr>
            <w:tcW w:w="1173" w:type="dxa"/>
            <w:shd w:val="clear" w:color="auto" w:fill="auto"/>
            <w:noWrap/>
            <w:vAlign w:val="bottom"/>
          </w:tcPr>
          <w:p w14:paraId="3BE9AD2C" w14:textId="32565F20"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Support</w:t>
            </w:r>
          </w:p>
        </w:tc>
        <w:tc>
          <w:tcPr>
            <w:tcW w:w="3075" w:type="dxa"/>
            <w:shd w:val="clear" w:color="auto" w:fill="D9F2D0" w:themeFill="accent6" w:themeFillTint="33"/>
            <w:noWrap/>
            <w:vAlign w:val="bottom"/>
          </w:tcPr>
          <w:p w14:paraId="0EA5565E"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1195" w:type="dxa"/>
            <w:shd w:val="clear" w:color="auto" w:fill="auto"/>
            <w:noWrap/>
            <w:vAlign w:val="bottom"/>
          </w:tcPr>
          <w:p w14:paraId="77EF1568"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9235" w:type="dxa"/>
            <w:shd w:val="clear" w:color="auto" w:fill="auto"/>
            <w:noWrap/>
            <w:vAlign w:val="bottom"/>
          </w:tcPr>
          <w:p w14:paraId="2A153F01"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r>
      <w:tr w:rsidR="00F1710A" w:rsidRPr="009F145E" w14:paraId="576EB491" w14:textId="77777777" w:rsidTr="00F1710A">
        <w:trPr>
          <w:trHeight w:val="290"/>
          <w:jc w:val="center"/>
        </w:trPr>
        <w:tc>
          <w:tcPr>
            <w:tcW w:w="1173" w:type="dxa"/>
            <w:shd w:val="clear" w:color="auto" w:fill="auto"/>
            <w:noWrap/>
            <w:vAlign w:val="bottom"/>
          </w:tcPr>
          <w:p w14:paraId="12E2016B" w14:textId="31DB1596"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Against</w:t>
            </w:r>
          </w:p>
        </w:tc>
        <w:tc>
          <w:tcPr>
            <w:tcW w:w="3075" w:type="dxa"/>
            <w:shd w:val="clear" w:color="auto" w:fill="F8D8D8"/>
            <w:noWrap/>
            <w:vAlign w:val="bottom"/>
          </w:tcPr>
          <w:p w14:paraId="035D1A2D"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1195" w:type="dxa"/>
            <w:shd w:val="clear" w:color="auto" w:fill="auto"/>
            <w:noWrap/>
            <w:vAlign w:val="bottom"/>
          </w:tcPr>
          <w:p w14:paraId="25C1DB95"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9235" w:type="dxa"/>
            <w:shd w:val="clear" w:color="auto" w:fill="auto"/>
            <w:noWrap/>
            <w:vAlign w:val="bottom"/>
          </w:tcPr>
          <w:p w14:paraId="1911B58D"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r>
      <w:tr w:rsidR="00F1710A" w:rsidRPr="009F145E" w14:paraId="3EFA5248" w14:textId="77777777" w:rsidTr="00F51B0F">
        <w:trPr>
          <w:trHeight w:val="290"/>
          <w:jc w:val="center"/>
        </w:trPr>
        <w:tc>
          <w:tcPr>
            <w:tcW w:w="1173" w:type="dxa"/>
            <w:shd w:val="clear" w:color="auto" w:fill="auto"/>
            <w:noWrap/>
            <w:vAlign w:val="bottom"/>
          </w:tcPr>
          <w:p w14:paraId="2E2D66C4" w14:textId="193C59FF"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3075" w:type="dxa"/>
            <w:shd w:val="clear" w:color="auto" w:fill="auto"/>
            <w:noWrap/>
            <w:vAlign w:val="bottom"/>
          </w:tcPr>
          <w:p w14:paraId="1ECC2DB8"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1195" w:type="dxa"/>
            <w:shd w:val="clear" w:color="auto" w:fill="auto"/>
            <w:noWrap/>
            <w:vAlign w:val="bottom"/>
          </w:tcPr>
          <w:p w14:paraId="1A02AE62"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c>
          <w:tcPr>
            <w:tcW w:w="9235" w:type="dxa"/>
            <w:shd w:val="clear" w:color="auto" w:fill="auto"/>
            <w:noWrap/>
            <w:vAlign w:val="bottom"/>
          </w:tcPr>
          <w:p w14:paraId="73E8A477" w14:textId="77777777" w:rsidR="00F1710A" w:rsidRPr="009F145E" w:rsidRDefault="00F1710A" w:rsidP="009F145E">
            <w:pPr>
              <w:spacing w:after="0" w:line="240" w:lineRule="auto"/>
              <w:rPr>
                <w:rFonts w:ascii="Aptos Narrow" w:eastAsia="Times New Roman" w:hAnsi="Aptos Narrow" w:cs="Times New Roman"/>
                <w:b/>
                <w:bCs/>
                <w:color w:val="000000"/>
                <w:kern w:val="0"/>
                <w:sz w:val="22"/>
                <w:szCs w:val="22"/>
                <w14:ligatures w14:val="none"/>
              </w:rPr>
            </w:pPr>
          </w:p>
        </w:tc>
      </w:tr>
      <w:tr w:rsidR="009F145E" w:rsidRPr="009F145E" w14:paraId="34D44B79" w14:textId="77777777" w:rsidTr="00F51B0F">
        <w:trPr>
          <w:trHeight w:val="290"/>
          <w:jc w:val="center"/>
        </w:trPr>
        <w:tc>
          <w:tcPr>
            <w:tcW w:w="1173" w:type="dxa"/>
            <w:shd w:val="clear" w:color="auto" w:fill="auto"/>
            <w:noWrap/>
            <w:vAlign w:val="bottom"/>
            <w:hideMark/>
          </w:tcPr>
          <w:p w14:paraId="509C6BFE"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Bill</w:t>
            </w:r>
          </w:p>
        </w:tc>
        <w:tc>
          <w:tcPr>
            <w:tcW w:w="3075" w:type="dxa"/>
            <w:shd w:val="clear" w:color="auto" w:fill="auto"/>
            <w:noWrap/>
            <w:vAlign w:val="bottom"/>
            <w:hideMark/>
          </w:tcPr>
          <w:p w14:paraId="1BE7C119"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Title</w:t>
            </w:r>
          </w:p>
        </w:tc>
        <w:tc>
          <w:tcPr>
            <w:tcW w:w="1195" w:type="dxa"/>
            <w:shd w:val="clear" w:color="auto" w:fill="auto"/>
            <w:noWrap/>
            <w:vAlign w:val="bottom"/>
            <w:hideMark/>
          </w:tcPr>
          <w:p w14:paraId="24E79D0C"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Sponsor</w:t>
            </w:r>
          </w:p>
        </w:tc>
        <w:tc>
          <w:tcPr>
            <w:tcW w:w="9235" w:type="dxa"/>
            <w:shd w:val="clear" w:color="auto" w:fill="auto"/>
            <w:noWrap/>
            <w:vAlign w:val="bottom"/>
            <w:hideMark/>
          </w:tcPr>
          <w:p w14:paraId="64809B57"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Highlighted Provisions</w:t>
            </w:r>
          </w:p>
        </w:tc>
      </w:tr>
      <w:tr w:rsidR="00810242" w:rsidRPr="009F145E" w14:paraId="4BC1AB4B" w14:textId="77777777" w:rsidTr="00F51B0F">
        <w:trPr>
          <w:trHeight w:val="290"/>
          <w:jc w:val="center"/>
        </w:trPr>
        <w:tc>
          <w:tcPr>
            <w:tcW w:w="1173" w:type="dxa"/>
            <w:shd w:val="clear" w:color="auto" w:fill="auto"/>
            <w:noWrap/>
            <w:vAlign w:val="center"/>
            <w:hideMark/>
          </w:tcPr>
          <w:p w14:paraId="4F6025E4" w14:textId="5527490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6" w:history="1">
              <w:r w:rsidRPr="009F145E">
                <w:rPr>
                  <w:rStyle w:val="Hyperlink"/>
                  <w:rFonts w:ascii="Aptos Narrow" w:eastAsia="Times New Roman" w:hAnsi="Aptos Narrow" w:cs="Times New Roman"/>
                  <w:kern w:val="0"/>
                  <w:sz w:val="22"/>
                  <w:szCs w:val="22"/>
                  <w14:ligatures w14:val="none"/>
                </w:rPr>
                <w:t>HB0004</w:t>
              </w:r>
            </w:hyperlink>
          </w:p>
        </w:tc>
        <w:tc>
          <w:tcPr>
            <w:tcW w:w="3075" w:type="dxa"/>
            <w:shd w:val="clear" w:color="auto" w:fill="auto"/>
            <w:noWrap/>
            <w:vAlign w:val="center"/>
            <w:hideMark/>
          </w:tcPr>
          <w:p w14:paraId="369A79D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Economic and Community Development Base Budget</w:t>
            </w:r>
          </w:p>
        </w:tc>
        <w:tc>
          <w:tcPr>
            <w:tcW w:w="1195" w:type="dxa"/>
            <w:shd w:val="clear" w:color="auto" w:fill="auto"/>
            <w:noWrap/>
            <w:vAlign w:val="bottom"/>
            <w:hideMark/>
          </w:tcPr>
          <w:p w14:paraId="5F41EB8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WATKICF</w:t>
            </w:r>
          </w:p>
        </w:tc>
        <w:tc>
          <w:tcPr>
            <w:tcW w:w="9235" w:type="dxa"/>
            <w:shd w:val="clear" w:color="auto" w:fill="auto"/>
            <w:noWrap/>
            <w:vAlign w:val="bottom"/>
            <w:hideMark/>
          </w:tcPr>
          <w:p w14:paraId="7EF6590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appropriations for the use and support of certain state agencies; provides appropriations for other purposes as described; provides intent language.</w:t>
            </w:r>
          </w:p>
        </w:tc>
      </w:tr>
      <w:tr w:rsidR="00F1710A" w:rsidRPr="009F145E" w14:paraId="0A3C51A6" w14:textId="77777777" w:rsidTr="00F1710A">
        <w:trPr>
          <w:trHeight w:val="290"/>
          <w:jc w:val="center"/>
        </w:trPr>
        <w:tc>
          <w:tcPr>
            <w:tcW w:w="1173" w:type="dxa"/>
            <w:shd w:val="clear" w:color="auto" w:fill="auto"/>
            <w:noWrap/>
            <w:vAlign w:val="center"/>
            <w:hideMark/>
          </w:tcPr>
          <w:p w14:paraId="5FD548F7" w14:textId="570F044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7" w:history="1">
              <w:r w:rsidRPr="009F145E">
                <w:rPr>
                  <w:rStyle w:val="Hyperlink"/>
                  <w:rFonts w:ascii="Aptos Narrow" w:eastAsia="Times New Roman" w:hAnsi="Aptos Narrow" w:cs="Times New Roman"/>
                  <w:kern w:val="0"/>
                  <w:sz w:val="22"/>
                  <w:szCs w:val="22"/>
                  <w14:ligatures w14:val="none"/>
                </w:rPr>
                <w:t>HB0037</w:t>
              </w:r>
            </w:hyperlink>
          </w:p>
        </w:tc>
        <w:tc>
          <w:tcPr>
            <w:tcW w:w="3075" w:type="dxa"/>
            <w:shd w:val="clear" w:color="auto" w:fill="auto"/>
            <w:noWrap/>
            <w:vAlign w:val="center"/>
            <w:hideMark/>
          </w:tcPr>
          <w:p w14:paraId="145D1B1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Utah Housing Amendments</w:t>
            </w:r>
          </w:p>
        </w:tc>
        <w:tc>
          <w:tcPr>
            <w:tcW w:w="1195" w:type="dxa"/>
            <w:shd w:val="clear" w:color="auto" w:fill="auto"/>
            <w:noWrap/>
            <w:vAlign w:val="center"/>
            <w:hideMark/>
          </w:tcPr>
          <w:p w14:paraId="52E47E9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DUNNIJA</w:t>
            </w:r>
          </w:p>
        </w:tc>
        <w:tc>
          <w:tcPr>
            <w:tcW w:w="9235" w:type="dxa"/>
            <w:shd w:val="clear" w:color="auto" w:fill="auto"/>
            <w:noWrap/>
            <w:vAlign w:val="bottom"/>
            <w:hideMark/>
          </w:tcPr>
          <w:p w14:paraId="22D96D21" w14:textId="295F572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authorizes a municipality or county to implement a density overlay in a housing-eligible zone of the municipality or county; authorizes a municipality or county to add additional requirements for development in a density overlay if the area is undeveloped at the time the municipality or county adopts the density overlay; beginning January 1, 2027, requires a specified municipality or specified county to include in the specified municipality's or specified county's moderate income housing report information on affordable housing density within the specified municipality or specified county;</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 authorizes a municipality or county to consider an applicant's agreement to develop moderate income housing in an area subject to a density overlay in the municipality's or county's determination of whether to approve or deny a land use application;&lt; requires the Housing and Community Development Division ("Division") to analyze all moderate income housing reports received by the Division before January 1, 2025; requires the Division to provide a report to the Political Subdivisions Interim Committee; authorizes the Division to make rules regarding the form and content of a moderate income housing report;  requires the Commission on Housing Affordability ("Commission") to develop a series of recommended regional strategic plans for housing, including affordable housing; requires the Commission to submit an annual written report to the Political Subdivisions Interim Committee;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810242" w:rsidRPr="009F145E" w14:paraId="2726154C" w14:textId="77777777" w:rsidTr="008F3AA8">
        <w:trPr>
          <w:trHeight w:val="290"/>
          <w:jc w:val="center"/>
        </w:trPr>
        <w:tc>
          <w:tcPr>
            <w:tcW w:w="1173" w:type="dxa"/>
            <w:shd w:val="clear" w:color="auto" w:fill="auto"/>
            <w:noWrap/>
            <w:vAlign w:val="center"/>
            <w:hideMark/>
          </w:tcPr>
          <w:p w14:paraId="47150BCB" w14:textId="343EBD7B"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8" w:history="1">
              <w:r w:rsidRPr="009F145E">
                <w:rPr>
                  <w:rStyle w:val="Hyperlink"/>
                  <w:rFonts w:ascii="Aptos Narrow" w:eastAsia="Times New Roman" w:hAnsi="Aptos Narrow" w:cs="Times New Roman"/>
                  <w:kern w:val="0"/>
                  <w:sz w:val="22"/>
                  <w:szCs w:val="22"/>
                  <w14:ligatures w14:val="none"/>
                </w:rPr>
                <w:t>HB0057</w:t>
              </w:r>
            </w:hyperlink>
          </w:p>
        </w:tc>
        <w:tc>
          <w:tcPr>
            <w:tcW w:w="3075" w:type="dxa"/>
            <w:shd w:val="clear" w:color="auto" w:fill="auto"/>
            <w:noWrap/>
            <w:vAlign w:val="center"/>
            <w:hideMark/>
          </w:tcPr>
          <w:p w14:paraId="0D72575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Residential Solar Panel Consumer Protection Amendments</w:t>
            </w:r>
          </w:p>
        </w:tc>
        <w:tc>
          <w:tcPr>
            <w:tcW w:w="1195" w:type="dxa"/>
            <w:shd w:val="clear" w:color="auto" w:fill="auto"/>
            <w:noWrap/>
            <w:vAlign w:val="center"/>
            <w:hideMark/>
          </w:tcPr>
          <w:p w14:paraId="768C9FD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JACKC</w:t>
            </w:r>
          </w:p>
        </w:tc>
        <w:tc>
          <w:tcPr>
            <w:tcW w:w="9235" w:type="dxa"/>
            <w:shd w:val="clear" w:color="auto" w:fill="auto"/>
            <w:noWrap/>
            <w:vAlign w:val="bottom"/>
            <w:hideMark/>
          </w:tcPr>
          <w:p w14:paraId="0BDC8D51" w14:textId="34A0BE43"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additional disclosure language; mandates that a solar retailer's good faith estimate of energy production be within a specified percentage of the actual energy production; requires the solar retailer repair the solar panels if the actual energy production is not within a specified percentage of the good faith estimate of energy production;</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creates a registration and security requirement for a solar retailer to do business in Utah; requires a solar retailer sales representative be employed by the solar retailer as a W-2 employee; delays a customer's financial obligation on a residential solar energy system until the system is active and producing usable energy;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changes.</w:t>
            </w:r>
          </w:p>
        </w:tc>
      </w:tr>
      <w:tr w:rsidR="00810242" w:rsidRPr="009F145E" w14:paraId="50518D04" w14:textId="77777777" w:rsidTr="008F3AA8">
        <w:trPr>
          <w:trHeight w:val="290"/>
          <w:jc w:val="center"/>
        </w:trPr>
        <w:tc>
          <w:tcPr>
            <w:tcW w:w="1173" w:type="dxa"/>
            <w:shd w:val="clear" w:color="auto" w:fill="auto"/>
            <w:noWrap/>
            <w:vAlign w:val="center"/>
            <w:hideMark/>
          </w:tcPr>
          <w:p w14:paraId="7B0BD946" w14:textId="332A564C"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9" w:history="1">
              <w:r w:rsidRPr="009F145E">
                <w:rPr>
                  <w:rStyle w:val="Hyperlink"/>
                  <w:rFonts w:ascii="Aptos Narrow" w:eastAsia="Times New Roman" w:hAnsi="Aptos Narrow" w:cs="Times New Roman"/>
                  <w:kern w:val="0"/>
                  <w:sz w:val="22"/>
                  <w:szCs w:val="22"/>
                  <w14:ligatures w14:val="none"/>
                </w:rPr>
                <w:t>HB0058</w:t>
              </w:r>
            </w:hyperlink>
          </w:p>
        </w:tc>
        <w:tc>
          <w:tcPr>
            <w:tcW w:w="3075" w:type="dxa"/>
            <w:shd w:val="clear" w:color="auto" w:fill="auto"/>
            <w:noWrap/>
            <w:vAlign w:val="center"/>
            <w:hideMark/>
          </w:tcPr>
          <w:p w14:paraId="109B5C6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Building Inspector Amendments</w:t>
            </w:r>
          </w:p>
        </w:tc>
        <w:tc>
          <w:tcPr>
            <w:tcW w:w="1195" w:type="dxa"/>
            <w:shd w:val="clear" w:color="auto" w:fill="auto"/>
            <w:noWrap/>
            <w:vAlign w:val="center"/>
            <w:hideMark/>
          </w:tcPr>
          <w:p w14:paraId="333391C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PETERT</w:t>
            </w:r>
          </w:p>
        </w:tc>
        <w:tc>
          <w:tcPr>
            <w:tcW w:w="9235" w:type="dxa"/>
            <w:shd w:val="clear" w:color="auto" w:fill="auto"/>
            <w:noWrap/>
            <w:vAlign w:val="bottom"/>
            <w:hideMark/>
          </w:tcPr>
          <w:p w14:paraId="5C6CADB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directs the Uniform Building Code Commission to: collect data pertaining to building inspectors; publish gathered data on an annual basis; and report the data annually to the Legislature; expands the scope for the Division of Professional Licensing to spend money from surcharges; adds unlawful and unprofessional conduct provisions for licensed building inspectors </w:t>
            </w:r>
            <w:r w:rsidRPr="009F145E">
              <w:rPr>
                <w:rFonts w:ascii="Aptos Narrow" w:eastAsia="Times New Roman" w:hAnsi="Aptos Narrow" w:cs="Times New Roman"/>
                <w:color w:val="000000"/>
                <w:kern w:val="0"/>
                <w:sz w:val="22"/>
                <w:szCs w:val="22"/>
                <w14:ligatures w14:val="none"/>
              </w:rPr>
              <w:lastRenderedPageBreak/>
              <w:t>acting as qualified building officials; requires a local regulator to hire or contract with a qualified building official; and makes technical and conforming changes.</w:t>
            </w:r>
          </w:p>
        </w:tc>
      </w:tr>
      <w:tr w:rsidR="00810242" w:rsidRPr="009F145E" w14:paraId="7000CAF2" w14:textId="77777777" w:rsidTr="006E2607">
        <w:trPr>
          <w:trHeight w:val="290"/>
          <w:jc w:val="center"/>
        </w:trPr>
        <w:tc>
          <w:tcPr>
            <w:tcW w:w="1173" w:type="dxa"/>
            <w:shd w:val="clear" w:color="auto" w:fill="auto"/>
            <w:noWrap/>
            <w:vAlign w:val="center"/>
            <w:hideMark/>
          </w:tcPr>
          <w:p w14:paraId="639BA120" w14:textId="2554CFCE"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0" w:history="1">
              <w:r w:rsidRPr="009F145E">
                <w:rPr>
                  <w:rStyle w:val="Hyperlink"/>
                  <w:rFonts w:ascii="Aptos Narrow" w:eastAsia="Times New Roman" w:hAnsi="Aptos Narrow" w:cs="Times New Roman"/>
                  <w:kern w:val="0"/>
                  <w:sz w:val="22"/>
                  <w:szCs w:val="22"/>
                  <w14:ligatures w14:val="none"/>
                </w:rPr>
                <w:t>HB0062</w:t>
              </w:r>
            </w:hyperlink>
          </w:p>
        </w:tc>
        <w:tc>
          <w:tcPr>
            <w:tcW w:w="3075" w:type="dxa"/>
            <w:shd w:val="clear" w:color="auto" w:fill="auto"/>
            <w:noWrap/>
            <w:vAlign w:val="center"/>
            <w:hideMark/>
          </w:tcPr>
          <w:p w14:paraId="64813E3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Act Modifications</w:t>
            </w:r>
          </w:p>
        </w:tc>
        <w:tc>
          <w:tcPr>
            <w:tcW w:w="1195" w:type="dxa"/>
            <w:shd w:val="clear" w:color="auto" w:fill="auto"/>
            <w:noWrap/>
            <w:vAlign w:val="center"/>
            <w:hideMark/>
          </w:tcPr>
          <w:p w14:paraId="4D3B910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ELIASS</w:t>
            </w:r>
          </w:p>
        </w:tc>
        <w:tc>
          <w:tcPr>
            <w:tcW w:w="9235" w:type="dxa"/>
            <w:shd w:val="clear" w:color="auto" w:fill="auto"/>
            <w:noWrap/>
            <w:vAlign w:val="bottom"/>
            <w:hideMark/>
          </w:tcPr>
          <w:p w14:paraId="013882DB" w14:textId="08D95B8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Establishes an application deadline for the residential property tax exemption; modifies the contents of the residential property declaration signed by an owner of residential property; clarifies the circumstances under which land that is less than five acres in area may qualify for agricultural property tax assessment; clarifies a taxpayer's ability to appeal decisions related to tax deferral and tax abatement to the State Tax Commission; requires the State Tax Commission to report to the Legislature if certain rules are promulgated; and makes technical and conforming changes.</w:t>
            </w:r>
          </w:p>
        </w:tc>
      </w:tr>
      <w:tr w:rsidR="00810242" w:rsidRPr="009F145E" w14:paraId="322D89E4" w14:textId="77777777" w:rsidTr="006E2607">
        <w:trPr>
          <w:trHeight w:val="290"/>
          <w:jc w:val="center"/>
        </w:trPr>
        <w:tc>
          <w:tcPr>
            <w:tcW w:w="1173" w:type="dxa"/>
            <w:shd w:val="clear" w:color="auto" w:fill="auto"/>
            <w:noWrap/>
            <w:vAlign w:val="center"/>
            <w:hideMark/>
          </w:tcPr>
          <w:p w14:paraId="69769961" w14:textId="5E1ADF48"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1" w:history="1">
              <w:r w:rsidRPr="009F145E">
                <w:rPr>
                  <w:rStyle w:val="Hyperlink"/>
                  <w:rFonts w:ascii="Aptos Narrow" w:eastAsia="Times New Roman" w:hAnsi="Aptos Narrow" w:cs="Times New Roman"/>
                  <w:kern w:val="0"/>
                  <w:sz w:val="22"/>
                  <w:szCs w:val="22"/>
                  <w14:ligatures w14:val="none"/>
                </w:rPr>
                <w:t>HB0090</w:t>
              </w:r>
            </w:hyperlink>
          </w:p>
        </w:tc>
        <w:tc>
          <w:tcPr>
            <w:tcW w:w="3075" w:type="dxa"/>
            <w:shd w:val="clear" w:color="auto" w:fill="auto"/>
            <w:noWrap/>
            <w:vAlign w:val="center"/>
            <w:hideMark/>
          </w:tcPr>
          <w:p w14:paraId="05E7002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Zoning Amendments</w:t>
            </w:r>
          </w:p>
        </w:tc>
        <w:tc>
          <w:tcPr>
            <w:tcW w:w="1195" w:type="dxa"/>
            <w:shd w:val="clear" w:color="auto" w:fill="auto"/>
            <w:noWrap/>
            <w:vAlign w:val="center"/>
            <w:hideMark/>
          </w:tcPr>
          <w:p w14:paraId="09FE5AF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235" w:type="dxa"/>
            <w:shd w:val="clear" w:color="auto" w:fill="auto"/>
            <w:noWrap/>
            <w:vAlign w:val="bottom"/>
            <w:hideMark/>
          </w:tcPr>
          <w:p w14:paraId="7DF4C4C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the term "urban municipality"; provides that a detached </w:t>
            </w:r>
            <w:proofErr w:type="gramStart"/>
            <w:r w:rsidRPr="009F145E">
              <w:rPr>
                <w:rFonts w:ascii="Aptos Narrow" w:eastAsia="Times New Roman" w:hAnsi="Aptos Narrow" w:cs="Times New Roman"/>
                <w:color w:val="000000"/>
                <w:kern w:val="0"/>
                <w:sz w:val="22"/>
                <w:szCs w:val="22"/>
                <w14:ligatures w14:val="none"/>
              </w:rPr>
              <w:t>single family</w:t>
            </w:r>
            <w:proofErr w:type="gramEnd"/>
            <w:r w:rsidRPr="009F145E">
              <w:rPr>
                <w:rFonts w:ascii="Aptos Narrow" w:eastAsia="Times New Roman" w:hAnsi="Aptos Narrow" w:cs="Times New Roman"/>
                <w:color w:val="000000"/>
                <w:kern w:val="0"/>
                <w:sz w:val="22"/>
                <w:szCs w:val="22"/>
                <w14:ligatures w14:val="none"/>
              </w:rPr>
              <w:t xml:space="preserve"> dwelling that is built on a lot of at least 4,000 square feet is a permitted use in a residential zone of an urban municipality; provides that housing is </w:t>
            </w:r>
            <w:proofErr w:type="gramStart"/>
            <w:r w:rsidRPr="009F145E">
              <w:rPr>
                <w:rFonts w:ascii="Aptos Narrow" w:eastAsia="Times New Roman" w:hAnsi="Aptos Narrow" w:cs="Times New Roman"/>
                <w:color w:val="000000"/>
                <w:kern w:val="0"/>
                <w:sz w:val="22"/>
                <w:szCs w:val="22"/>
                <w14:ligatures w14:val="none"/>
              </w:rPr>
              <w:t>a permitted</w:t>
            </w:r>
            <w:proofErr w:type="gramEnd"/>
            <w:r w:rsidRPr="009F145E">
              <w:rPr>
                <w:rFonts w:ascii="Aptos Narrow" w:eastAsia="Times New Roman" w:hAnsi="Aptos Narrow" w:cs="Times New Roman"/>
                <w:color w:val="000000"/>
                <w:kern w:val="0"/>
                <w:sz w:val="22"/>
                <w:szCs w:val="22"/>
                <w14:ligatures w14:val="none"/>
              </w:rPr>
              <w:t xml:space="preserve"> use in a commercial zone of an urban municipality; and makes technical and conforming changes.</w:t>
            </w:r>
          </w:p>
        </w:tc>
      </w:tr>
      <w:tr w:rsidR="00810242" w:rsidRPr="009F145E" w14:paraId="77C29B2A" w14:textId="77777777" w:rsidTr="006E2607">
        <w:trPr>
          <w:trHeight w:val="290"/>
          <w:jc w:val="center"/>
        </w:trPr>
        <w:tc>
          <w:tcPr>
            <w:tcW w:w="1173" w:type="dxa"/>
            <w:shd w:val="clear" w:color="auto" w:fill="auto"/>
            <w:noWrap/>
            <w:vAlign w:val="center"/>
            <w:hideMark/>
          </w:tcPr>
          <w:p w14:paraId="180FBEE1" w14:textId="28D58C6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2" w:history="1">
              <w:r w:rsidRPr="009F145E">
                <w:rPr>
                  <w:rStyle w:val="Hyperlink"/>
                  <w:rFonts w:ascii="Aptos Narrow" w:eastAsia="Times New Roman" w:hAnsi="Aptos Narrow" w:cs="Times New Roman"/>
                  <w:kern w:val="0"/>
                  <w:sz w:val="22"/>
                  <w:szCs w:val="22"/>
                  <w14:ligatures w14:val="none"/>
                </w:rPr>
                <w:t>HB0088</w:t>
              </w:r>
            </w:hyperlink>
          </w:p>
        </w:tc>
        <w:tc>
          <w:tcPr>
            <w:tcW w:w="3075" w:type="dxa"/>
            <w:shd w:val="clear" w:color="auto" w:fill="auto"/>
            <w:noWrap/>
            <w:vAlign w:val="center"/>
            <w:hideMark/>
          </w:tcPr>
          <w:p w14:paraId="2F1A896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Policy Amendments</w:t>
            </w:r>
          </w:p>
        </w:tc>
        <w:tc>
          <w:tcPr>
            <w:tcW w:w="1195" w:type="dxa"/>
            <w:shd w:val="clear" w:color="auto" w:fill="auto"/>
            <w:noWrap/>
            <w:vAlign w:val="center"/>
            <w:hideMark/>
          </w:tcPr>
          <w:p w14:paraId="281692E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235" w:type="dxa"/>
            <w:shd w:val="clear" w:color="auto" w:fill="auto"/>
            <w:noWrap/>
            <w:vAlign w:val="bottom"/>
            <w:hideMark/>
          </w:tcPr>
          <w:p w14:paraId="050DA6B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amends the required frequency of a moderate income housing progress report; provides that an accessory dwelling unit, internal or external, on a lot containing a detached single family dwelling is a permitted use in a residential zone of an urban municipality; provides that an urban municipality may not prohibit the use of a modular unit in a residential zone; and makes technical and conforming changes.</w:t>
            </w:r>
          </w:p>
        </w:tc>
      </w:tr>
      <w:tr w:rsidR="00810242" w:rsidRPr="009F145E" w14:paraId="14665B03" w14:textId="77777777" w:rsidTr="006E2607">
        <w:trPr>
          <w:trHeight w:val="290"/>
          <w:jc w:val="center"/>
        </w:trPr>
        <w:tc>
          <w:tcPr>
            <w:tcW w:w="1173" w:type="dxa"/>
            <w:shd w:val="clear" w:color="auto" w:fill="auto"/>
            <w:noWrap/>
            <w:vAlign w:val="center"/>
            <w:hideMark/>
          </w:tcPr>
          <w:p w14:paraId="7FC799C8" w14:textId="76FC234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3" w:history="1">
              <w:r w:rsidRPr="009F145E">
                <w:rPr>
                  <w:rStyle w:val="Hyperlink"/>
                  <w:rFonts w:ascii="Aptos Narrow" w:eastAsia="Times New Roman" w:hAnsi="Aptos Narrow" w:cs="Times New Roman"/>
                  <w:kern w:val="0"/>
                  <w:sz w:val="22"/>
                  <w:szCs w:val="22"/>
                  <w14:ligatures w14:val="none"/>
                </w:rPr>
                <w:t>HB0063</w:t>
              </w:r>
            </w:hyperlink>
          </w:p>
        </w:tc>
        <w:tc>
          <w:tcPr>
            <w:tcW w:w="3075" w:type="dxa"/>
            <w:shd w:val="clear" w:color="auto" w:fill="auto"/>
            <w:noWrap/>
            <w:vAlign w:val="center"/>
            <w:hideMark/>
          </w:tcPr>
          <w:p w14:paraId="276393D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Criminal Justice and Mental Health Coordination Amendments</w:t>
            </w:r>
          </w:p>
        </w:tc>
        <w:tc>
          <w:tcPr>
            <w:tcW w:w="1195" w:type="dxa"/>
            <w:shd w:val="clear" w:color="auto" w:fill="auto"/>
            <w:noWrap/>
            <w:vAlign w:val="center"/>
            <w:hideMark/>
          </w:tcPr>
          <w:p w14:paraId="322BF85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DAILEJ</w:t>
            </w:r>
          </w:p>
        </w:tc>
        <w:tc>
          <w:tcPr>
            <w:tcW w:w="9235" w:type="dxa"/>
            <w:shd w:val="clear" w:color="auto" w:fill="auto"/>
            <w:noWrap/>
            <w:vAlign w:val="bottom"/>
            <w:hideMark/>
          </w:tcPr>
          <w:p w14:paraId="5BE251BB" w14:textId="499F9AB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local mental health authorities to designate an individual or individuals responsible for providing consultation, education, and information services concerning guardianship and conservatorship options for individuals experiencing mental health crises;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the Division of Integrated Healthcare to adopt and maintain, and certain designated examiners to complete an annual training program relating to civil commitment; creates the Crisis Response Task Force (task force) and describes the task force's duties; provides a sunset date for the task force; and makes technical and conforming changes.</w:t>
            </w:r>
          </w:p>
        </w:tc>
      </w:tr>
      <w:tr w:rsidR="00810242" w:rsidRPr="009F145E" w14:paraId="10EC1889" w14:textId="77777777" w:rsidTr="006E2607">
        <w:trPr>
          <w:trHeight w:val="290"/>
          <w:jc w:val="center"/>
        </w:trPr>
        <w:tc>
          <w:tcPr>
            <w:tcW w:w="1173" w:type="dxa"/>
            <w:shd w:val="clear" w:color="auto" w:fill="auto"/>
            <w:noWrap/>
            <w:vAlign w:val="center"/>
            <w:hideMark/>
          </w:tcPr>
          <w:p w14:paraId="35BE4108" w14:textId="11ACD24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4" w:history="1">
              <w:r w:rsidRPr="009F145E">
                <w:rPr>
                  <w:rStyle w:val="Hyperlink"/>
                  <w:rFonts w:ascii="Aptos Narrow" w:eastAsia="Times New Roman" w:hAnsi="Aptos Narrow" w:cs="Times New Roman"/>
                  <w:kern w:val="0"/>
                  <w:sz w:val="22"/>
                  <w:szCs w:val="22"/>
                  <w14:ligatures w14:val="none"/>
                </w:rPr>
                <w:t>HB0086</w:t>
              </w:r>
            </w:hyperlink>
          </w:p>
        </w:tc>
        <w:tc>
          <w:tcPr>
            <w:tcW w:w="3075" w:type="dxa"/>
            <w:shd w:val="clear" w:color="auto" w:fill="auto"/>
            <w:noWrap/>
            <w:vAlign w:val="center"/>
            <w:hideMark/>
          </w:tcPr>
          <w:p w14:paraId="5ED1998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Requirements</w:t>
            </w:r>
          </w:p>
        </w:tc>
        <w:tc>
          <w:tcPr>
            <w:tcW w:w="1195" w:type="dxa"/>
            <w:shd w:val="clear" w:color="auto" w:fill="auto"/>
            <w:noWrap/>
            <w:vAlign w:val="center"/>
            <w:hideMark/>
          </w:tcPr>
          <w:p w14:paraId="29FCF1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BROOKW</w:t>
            </w:r>
          </w:p>
        </w:tc>
        <w:tc>
          <w:tcPr>
            <w:tcW w:w="9235" w:type="dxa"/>
            <w:shd w:val="clear" w:color="auto" w:fill="auto"/>
            <w:noWrap/>
            <w:vAlign w:val="bottom"/>
            <w:hideMark/>
          </w:tcPr>
          <w:p w14:paraId="67DC7E7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Increases the monetary amount a unit or lot owner may request if an association fails to properly make records available for examination; amends provisions relating to the period of administrative control for associations of lot owners; and makes technical and conforming changes.</w:t>
            </w:r>
          </w:p>
        </w:tc>
      </w:tr>
      <w:tr w:rsidR="00F1710A" w:rsidRPr="009F145E" w14:paraId="0D24C938" w14:textId="77777777" w:rsidTr="006E2607">
        <w:trPr>
          <w:trHeight w:val="290"/>
          <w:jc w:val="center"/>
        </w:trPr>
        <w:tc>
          <w:tcPr>
            <w:tcW w:w="1173" w:type="dxa"/>
            <w:shd w:val="clear" w:color="auto" w:fill="F8D8D8"/>
            <w:noWrap/>
            <w:vAlign w:val="center"/>
            <w:hideMark/>
          </w:tcPr>
          <w:p w14:paraId="4C7604EE" w14:textId="7A12F768"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5" w:history="1">
              <w:r w:rsidRPr="009F145E">
                <w:rPr>
                  <w:rStyle w:val="Hyperlink"/>
                  <w:rFonts w:ascii="Aptos Narrow" w:eastAsia="Times New Roman" w:hAnsi="Aptos Narrow" w:cs="Times New Roman"/>
                  <w:kern w:val="0"/>
                  <w:sz w:val="22"/>
                  <w:szCs w:val="22"/>
                  <w14:ligatures w14:val="none"/>
                </w:rPr>
                <w:t>HB01</w:t>
              </w:r>
              <w:r w:rsidRPr="009F145E">
                <w:rPr>
                  <w:rStyle w:val="Hyperlink"/>
                  <w:rFonts w:ascii="Aptos Narrow" w:eastAsia="Times New Roman" w:hAnsi="Aptos Narrow" w:cs="Times New Roman"/>
                  <w:kern w:val="0"/>
                  <w:sz w:val="22"/>
                  <w:szCs w:val="22"/>
                  <w14:ligatures w14:val="none"/>
                </w:rPr>
                <w:t>1</w:t>
              </w:r>
              <w:r w:rsidRPr="009F145E">
                <w:rPr>
                  <w:rStyle w:val="Hyperlink"/>
                  <w:rFonts w:ascii="Aptos Narrow" w:eastAsia="Times New Roman" w:hAnsi="Aptos Narrow" w:cs="Times New Roman"/>
                  <w:kern w:val="0"/>
                  <w:sz w:val="22"/>
                  <w:szCs w:val="22"/>
                  <w14:ligatures w14:val="none"/>
                </w:rPr>
                <w:t>8</w:t>
              </w:r>
            </w:hyperlink>
          </w:p>
        </w:tc>
        <w:tc>
          <w:tcPr>
            <w:tcW w:w="3075" w:type="dxa"/>
            <w:shd w:val="clear" w:color="auto" w:fill="F8D8D8"/>
            <w:noWrap/>
            <w:vAlign w:val="center"/>
            <w:hideMark/>
          </w:tcPr>
          <w:p w14:paraId="66A7EB0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Homelessness Revisions</w:t>
            </w:r>
          </w:p>
        </w:tc>
        <w:tc>
          <w:tcPr>
            <w:tcW w:w="1195" w:type="dxa"/>
            <w:shd w:val="clear" w:color="auto" w:fill="F8D8D8"/>
            <w:noWrap/>
            <w:vAlign w:val="center"/>
            <w:hideMark/>
          </w:tcPr>
          <w:p w14:paraId="52F0AA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ABBOTN</w:t>
            </w:r>
          </w:p>
        </w:tc>
        <w:tc>
          <w:tcPr>
            <w:tcW w:w="9235" w:type="dxa"/>
            <w:shd w:val="clear" w:color="auto" w:fill="F8D8D8"/>
            <w:noWrap/>
            <w:vAlign w:val="bottom"/>
            <w:hideMark/>
          </w:tcPr>
          <w:p w14:paraId="75CB23A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annual local contribution formula that local governments provide to the Homeless Shelter Cities Mitigation Restricted Account; and makes technical and conforming changes.</w:t>
            </w:r>
          </w:p>
        </w:tc>
      </w:tr>
      <w:tr w:rsidR="00810242" w:rsidRPr="009F145E" w14:paraId="0B59DA02" w14:textId="77777777" w:rsidTr="006E2607">
        <w:trPr>
          <w:trHeight w:val="290"/>
          <w:jc w:val="center"/>
        </w:trPr>
        <w:tc>
          <w:tcPr>
            <w:tcW w:w="1173" w:type="dxa"/>
            <w:shd w:val="clear" w:color="auto" w:fill="auto"/>
            <w:noWrap/>
            <w:vAlign w:val="center"/>
            <w:hideMark/>
          </w:tcPr>
          <w:p w14:paraId="57481853" w14:textId="52E10A5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6" w:history="1">
              <w:r w:rsidRPr="009F145E">
                <w:rPr>
                  <w:rStyle w:val="Hyperlink"/>
                  <w:rFonts w:ascii="Aptos Narrow" w:eastAsia="Times New Roman" w:hAnsi="Aptos Narrow" w:cs="Times New Roman"/>
                  <w:kern w:val="0"/>
                  <w:sz w:val="22"/>
                  <w:szCs w:val="22"/>
                  <w14:ligatures w14:val="none"/>
                </w:rPr>
                <w:t>HB0108</w:t>
              </w:r>
            </w:hyperlink>
          </w:p>
        </w:tc>
        <w:tc>
          <w:tcPr>
            <w:tcW w:w="3075" w:type="dxa"/>
            <w:shd w:val="clear" w:color="auto" w:fill="auto"/>
            <w:noWrap/>
            <w:vAlign w:val="center"/>
            <w:hideMark/>
          </w:tcPr>
          <w:p w14:paraId="03D9FDB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Fraudulent Deed Amendments</w:t>
            </w:r>
          </w:p>
        </w:tc>
        <w:tc>
          <w:tcPr>
            <w:tcW w:w="1195" w:type="dxa"/>
            <w:shd w:val="clear" w:color="auto" w:fill="auto"/>
            <w:noWrap/>
            <w:vAlign w:val="center"/>
            <w:hideMark/>
          </w:tcPr>
          <w:p w14:paraId="5CE7665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235" w:type="dxa"/>
            <w:shd w:val="clear" w:color="auto" w:fill="auto"/>
            <w:noWrap/>
            <w:vAlign w:val="bottom"/>
            <w:hideMark/>
          </w:tcPr>
          <w:p w14:paraId="344D0F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Excludes governing documents or a reinvestment fee covenant from the definition of a deed.</w:t>
            </w:r>
          </w:p>
        </w:tc>
      </w:tr>
      <w:tr w:rsidR="00810242" w:rsidRPr="009F145E" w14:paraId="52732AB0" w14:textId="77777777" w:rsidTr="006E2607">
        <w:trPr>
          <w:trHeight w:val="290"/>
          <w:jc w:val="center"/>
        </w:trPr>
        <w:tc>
          <w:tcPr>
            <w:tcW w:w="1173" w:type="dxa"/>
            <w:shd w:val="clear" w:color="auto" w:fill="C1F0C7" w:themeFill="accent3" w:themeFillTint="33"/>
            <w:noWrap/>
            <w:vAlign w:val="center"/>
            <w:hideMark/>
          </w:tcPr>
          <w:p w14:paraId="110D2D09" w14:textId="4FF7AEA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7" w:history="1">
              <w:r w:rsidRPr="009F145E">
                <w:rPr>
                  <w:rStyle w:val="Hyperlink"/>
                  <w:rFonts w:ascii="Aptos Narrow" w:eastAsia="Times New Roman" w:hAnsi="Aptos Narrow" w:cs="Times New Roman"/>
                  <w:kern w:val="0"/>
                  <w:sz w:val="22"/>
                  <w:szCs w:val="22"/>
                  <w14:ligatures w14:val="none"/>
                </w:rPr>
                <w:t>HB0099</w:t>
              </w:r>
            </w:hyperlink>
          </w:p>
        </w:tc>
        <w:tc>
          <w:tcPr>
            <w:tcW w:w="3075" w:type="dxa"/>
            <w:shd w:val="clear" w:color="auto" w:fill="C1F0C7" w:themeFill="accent3" w:themeFillTint="33"/>
            <w:noWrap/>
            <w:vAlign w:val="center"/>
            <w:hideMark/>
          </w:tcPr>
          <w:p w14:paraId="41856F7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Residential Mortgage Loan Amendments</w:t>
            </w:r>
          </w:p>
        </w:tc>
        <w:tc>
          <w:tcPr>
            <w:tcW w:w="1195" w:type="dxa"/>
            <w:shd w:val="clear" w:color="auto" w:fill="C1F0C7" w:themeFill="accent3" w:themeFillTint="33"/>
            <w:noWrap/>
            <w:vAlign w:val="center"/>
            <w:hideMark/>
          </w:tcPr>
          <w:p w14:paraId="3712D13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235" w:type="dxa"/>
            <w:shd w:val="clear" w:color="auto" w:fill="C1F0C7" w:themeFill="accent3" w:themeFillTint="33"/>
            <w:noWrap/>
            <w:vAlign w:val="bottom"/>
            <w:hideMark/>
          </w:tcPr>
          <w:p w14:paraId="67F2389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provides conditions where the use of information derived from a consumer report to solicit a consumer is prohibited; and makes technical and conforming changes. </w:t>
            </w:r>
          </w:p>
        </w:tc>
      </w:tr>
      <w:tr w:rsidR="00810242" w:rsidRPr="009F145E" w14:paraId="105C9B44" w14:textId="77777777" w:rsidTr="006E2607">
        <w:trPr>
          <w:trHeight w:val="290"/>
          <w:jc w:val="center"/>
        </w:trPr>
        <w:tc>
          <w:tcPr>
            <w:tcW w:w="1173" w:type="dxa"/>
            <w:shd w:val="clear" w:color="auto" w:fill="auto"/>
            <w:noWrap/>
            <w:vAlign w:val="center"/>
            <w:hideMark/>
          </w:tcPr>
          <w:p w14:paraId="2739969A" w14:textId="7DA6300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8" w:history="1">
              <w:r w:rsidRPr="009F145E">
                <w:rPr>
                  <w:rStyle w:val="Hyperlink"/>
                  <w:rFonts w:ascii="Aptos Narrow" w:eastAsia="Times New Roman" w:hAnsi="Aptos Narrow" w:cs="Times New Roman"/>
                  <w:kern w:val="0"/>
                  <w:sz w:val="22"/>
                  <w:szCs w:val="22"/>
                  <w14:ligatures w14:val="none"/>
                </w:rPr>
                <w:t>HB0126</w:t>
              </w:r>
            </w:hyperlink>
          </w:p>
        </w:tc>
        <w:tc>
          <w:tcPr>
            <w:tcW w:w="3075" w:type="dxa"/>
            <w:shd w:val="clear" w:color="auto" w:fill="auto"/>
            <w:noWrap/>
            <w:vAlign w:val="center"/>
            <w:hideMark/>
          </w:tcPr>
          <w:p w14:paraId="675364A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Unauthorized Use of Residential Real Property Modifications</w:t>
            </w:r>
          </w:p>
        </w:tc>
        <w:tc>
          <w:tcPr>
            <w:tcW w:w="1195" w:type="dxa"/>
            <w:shd w:val="clear" w:color="auto" w:fill="auto"/>
            <w:noWrap/>
            <w:vAlign w:val="center"/>
            <w:hideMark/>
          </w:tcPr>
          <w:p w14:paraId="0549BBF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LISONK</w:t>
            </w:r>
          </w:p>
        </w:tc>
        <w:tc>
          <w:tcPr>
            <w:tcW w:w="9235" w:type="dxa"/>
            <w:shd w:val="clear" w:color="auto" w:fill="auto"/>
            <w:noWrap/>
            <w:vAlign w:val="bottom"/>
            <w:hideMark/>
          </w:tcPr>
          <w:p w14:paraId="78BD4713" w14:textId="273A2EE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Authorizes property owners or their agents to request assistance from the sheriff for the immediate removal of a trespasser from a residential dwelling under certain conditions; requires an owner seeking removal of a trespasser, or the owner's authorized agent, to submit a complaint; specifies requirements for the complaint; provides requirements for the sheriff; authorizes a sheriff to arrest a trespasser for legal cause; provides that a sheriff is entitled to a specified fee for service of notice to vacate; authorizes the owner or agent to request that the sheriff stand by while the owner or agent takes possession of the property; authorizes the sheriff to charge a reasonable hourly rate;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the sheriff is not liable to any party for loss, destruction, or damage;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the property owner or agent is not liable to any party for the loss or destruction of, or damage to, personal property unless it was wrongfully removed;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civil remedies; imposes criminal penalties for unlawfully detaining, occupying, or trespassing of, a residential dwelling intentionally and causing a specified amount of damage; imposes criminal penalties for any person who knowingly and willfully presents a false document purporting to be a valid lease agreement, deed, or other instrument conveying real property rights; imposes criminal penalties for fraudulently listing or advertising for sale, or renting or leasing, residential real property under certain circumstances; and provides criminal penalties for committing perjury.</w:t>
            </w:r>
          </w:p>
        </w:tc>
      </w:tr>
      <w:tr w:rsidR="00810242" w:rsidRPr="009F145E" w14:paraId="187BB690" w14:textId="77777777" w:rsidTr="00F51B0F">
        <w:trPr>
          <w:trHeight w:val="290"/>
          <w:jc w:val="center"/>
        </w:trPr>
        <w:tc>
          <w:tcPr>
            <w:tcW w:w="1173" w:type="dxa"/>
            <w:shd w:val="clear" w:color="auto" w:fill="auto"/>
            <w:noWrap/>
            <w:vAlign w:val="center"/>
            <w:hideMark/>
          </w:tcPr>
          <w:p w14:paraId="4BBD40D1" w14:textId="0698A1DA"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19" w:history="1">
              <w:r w:rsidRPr="009F145E">
                <w:rPr>
                  <w:rStyle w:val="Hyperlink"/>
                  <w:rFonts w:ascii="Aptos Narrow" w:eastAsia="Times New Roman" w:hAnsi="Aptos Narrow" w:cs="Times New Roman"/>
                  <w:kern w:val="0"/>
                  <w:sz w:val="22"/>
                  <w:szCs w:val="22"/>
                  <w14:ligatures w14:val="none"/>
                </w:rPr>
                <w:t>HB0098</w:t>
              </w:r>
            </w:hyperlink>
          </w:p>
        </w:tc>
        <w:tc>
          <w:tcPr>
            <w:tcW w:w="3075" w:type="dxa"/>
            <w:shd w:val="clear" w:color="auto" w:fill="auto"/>
            <w:noWrap/>
            <w:vAlign w:val="center"/>
            <w:hideMark/>
          </w:tcPr>
          <w:p w14:paraId="366C65D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Landowner Liability Amendments</w:t>
            </w:r>
          </w:p>
        </w:tc>
        <w:tc>
          <w:tcPr>
            <w:tcW w:w="1195" w:type="dxa"/>
            <w:shd w:val="clear" w:color="auto" w:fill="auto"/>
            <w:noWrap/>
            <w:vAlign w:val="bottom"/>
            <w:hideMark/>
          </w:tcPr>
          <w:p w14:paraId="778BFA1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SHALLD</w:t>
            </w:r>
          </w:p>
        </w:tc>
        <w:tc>
          <w:tcPr>
            <w:tcW w:w="9235" w:type="dxa"/>
            <w:shd w:val="clear" w:color="auto" w:fill="auto"/>
            <w:noWrap/>
            <w:vAlign w:val="bottom"/>
            <w:hideMark/>
          </w:tcPr>
          <w:p w14:paraId="50063067" w14:textId="7E26650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Adds new activities to the definition of "recreational purpose" in the context of landowner liability;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changes.</w:t>
            </w:r>
          </w:p>
        </w:tc>
      </w:tr>
      <w:tr w:rsidR="00810242" w:rsidRPr="009F145E" w14:paraId="626D8679" w14:textId="77777777" w:rsidTr="00F51B0F">
        <w:trPr>
          <w:trHeight w:val="290"/>
          <w:jc w:val="center"/>
        </w:trPr>
        <w:tc>
          <w:tcPr>
            <w:tcW w:w="1173" w:type="dxa"/>
            <w:shd w:val="clear" w:color="auto" w:fill="auto"/>
            <w:noWrap/>
            <w:vAlign w:val="center"/>
            <w:hideMark/>
          </w:tcPr>
          <w:p w14:paraId="5D176F4D" w14:textId="0CA9A31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0" w:history="1">
              <w:r w:rsidRPr="009F145E">
                <w:rPr>
                  <w:rStyle w:val="Hyperlink"/>
                  <w:rFonts w:ascii="Aptos Narrow" w:eastAsia="Times New Roman" w:hAnsi="Aptos Narrow" w:cs="Times New Roman"/>
                  <w:kern w:val="0"/>
                  <w:sz w:val="22"/>
                  <w:szCs w:val="22"/>
                  <w14:ligatures w14:val="none"/>
                </w:rPr>
                <w:t>HB0119</w:t>
              </w:r>
            </w:hyperlink>
          </w:p>
        </w:tc>
        <w:tc>
          <w:tcPr>
            <w:tcW w:w="3075" w:type="dxa"/>
            <w:shd w:val="clear" w:color="auto" w:fill="auto"/>
            <w:noWrap/>
            <w:vAlign w:val="center"/>
            <w:hideMark/>
          </w:tcPr>
          <w:p w14:paraId="6715D7A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Solar Panel Restrictions in Homeowners Associations Amendments</w:t>
            </w:r>
          </w:p>
        </w:tc>
        <w:tc>
          <w:tcPr>
            <w:tcW w:w="1195" w:type="dxa"/>
            <w:shd w:val="clear" w:color="auto" w:fill="auto"/>
            <w:noWrap/>
            <w:vAlign w:val="bottom"/>
            <w:hideMark/>
          </w:tcPr>
          <w:p w14:paraId="4BFE229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OWENSDO</w:t>
            </w:r>
          </w:p>
        </w:tc>
        <w:tc>
          <w:tcPr>
            <w:tcW w:w="9235" w:type="dxa"/>
            <w:shd w:val="clear" w:color="auto" w:fill="auto"/>
            <w:noWrap/>
            <w:vAlign w:val="bottom"/>
            <w:hideMark/>
          </w:tcPr>
          <w:p w14:paraId="6F81D24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Stops a </w:t>
            </w:r>
            <w:proofErr w:type="gramStart"/>
            <w:r w:rsidRPr="009F145E">
              <w:rPr>
                <w:rFonts w:ascii="Aptos Narrow" w:eastAsia="Times New Roman" w:hAnsi="Aptos Narrow" w:cs="Times New Roman"/>
                <w:color w:val="000000"/>
                <w:kern w:val="0"/>
                <w:sz w:val="22"/>
                <w:szCs w:val="22"/>
                <w14:ligatures w14:val="none"/>
              </w:rPr>
              <w:t>homeowners</w:t>
            </w:r>
            <w:proofErr w:type="gramEnd"/>
            <w:r w:rsidRPr="009F145E">
              <w:rPr>
                <w:rFonts w:ascii="Aptos Narrow" w:eastAsia="Times New Roman" w:hAnsi="Aptos Narrow" w:cs="Times New Roman"/>
                <w:color w:val="000000"/>
                <w:kern w:val="0"/>
                <w:sz w:val="22"/>
                <w:szCs w:val="22"/>
                <w14:ligatures w14:val="none"/>
              </w:rPr>
              <w:t xml:space="preserve"> association from prohibiting solar panel installation; and authorizes a homeowners association to restrict solar panel installation.</w:t>
            </w:r>
          </w:p>
        </w:tc>
      </w:tr>
      <w:tr w:rsidR="00810242" w:rsidRPr="009F145E" w14:paraId="0F75176D" w14:textId="77777777" w:rsidTr="008F3AA8">
        <w:trPr>
          <w:trHeight w:val="290"/>
          <w:jc w:val="center"/>
        </w:trPr>
        <w:tc>
          <w:tcPr>
            <w:tcW w:w="1173" w:type="dxa"/>
            <w:shd w:val="clear" w:color="auto" w:fill="auto"/>
            <w:noWrap/>
            <w:vAlign w:val="center"/>
            <w:hideMark/>
          </w:tcPr>
          <w:p w14:paraId="1ECCBA48" w14:textId="19402B28"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1" w:history="1">
              <w:r w:rsidRPr="009F145E">
                <w:rPr>
                  <w:rStyle w:val="Hyperlink"/>
                  <w:rFonts w:ascii="Aptos Narrow" w:eastAsia="Times New Roman" w:hAnsi="Aptos Narrow" w:cs="Times New Roman"/>
                  <w:kern w:val="0"/>
                  <w:sz w:val="22"/>
                  <w:szCs w:val="22"/>
                  <w14:ligatures w14:val="none"/>
                </w:rPr>
                <w:t>HB0136</w:t>
              </w:r>
            </w:hyperlink>
          </w:p>
        </w:tc>
        <w:tc>
          <w:tcPr>
            <w:tcW w:w="3075" w:type="dxa"/>
            <w:shd w:val="clear" w:color="auto" w:fill="auto"/>
            <w:noWrap/>
            <w:vAlign w:val="center"/>
            <w:hideMark/>
          </w:tcPr>
          <w:p w14:paraId="2F132C5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Alternative Incarceration Program Amendments</w:t>
            </w:r>
          </w:p>
        </w:tc>
        <w:tc>
          <w:tcPr>
            <w:tcW w:w="1195" w:type="dxa"/>
            <w:shd w:val="clear" w:color="auto" w:fill="auto"/>
            <w:noWrap/>
            <w:vAlign w:val="center"/>
            <w:hideMark/>
          </w:tcPr>
          <w:p w14:paraId="0D9879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OWENSDO</w:t>
            </w:r>
          </w:p>
        </w:tc>
        <w:tc>
          <w:tcPr>
            <w:tcW w:w="9235" w:type="dxa"/>
            <w:shd w:val="clear" w:color="auto" w:fill="auto"/>
            <w:noWrap/>
            <w:vAlign w:val="bottom"/>
            <w:hideMark/>
          </w:tcPr>
          <w:p w14:paraId="2D8CD932" w14:textId="21FF9DB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Clarifies terms;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a county sheriff may implement a sheriff's work program in which inmates participate in supervised public works projects instead of serving time in jail; amends and establishes eligibility requirements for alternative incarceration programs and sheriff's work programs; provides that certain convictions are not eligible for participation in a sheriff's work program clarifies provisions related to credit for good behavior against a jail sentence; and makes technical and conforming changes.</w:t>
            </w:r>
          </w:p>
        </w:tc>
      </w:tr>
      <w:tr w:rsidR="00810242" w:rsidRPr="009F145E" w14:paraId="1E8615E1" w14:textId="77777777" w:rsidTr="00285E11">
        <w:trPr>
          <w:trHeight w:val="290"/>
          <w:jc w:val="center"/>
        </w:trPr>
        <w:tc>
          <w:tcPr>
            <w:tcW w:w="1173" w:type="dxa"/>
            <w:shd w:val="clear" w:color="auto" w:fill="D9F2D0" w:themeFill="accent6" w:themeFillTint="33"/>
            <w:noWrap/>
            <w:vAlign w:val="center"/>
            <w:hideMark/>
          </w:tcPr>
          <w:p w14:paraId="1A107649" w14:textId="2D06B00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2" w:history="1">
              <w:r w:rsidRPr="009F145E">
                <w:rPr>
                  <w:rStyle w:val="Hyperlink"/>
                  <w:rFonts w:ascii="Aptos Narrow" w:eastAsia="Times New Roman" w:hAnsi="Aptos Narrow" w:cs="Times New Roman"/>
                  <w:kern w:val="0"/>
                  <w:sz w:val="22"/>
                  <w:szCs w:val="22"/>
                  <w14:ligatures w14:val="none"/>
                </w:rPr>
                <w:t>HB0149</w:t>
              </w:r>
            </w:hyperlink>
          </w:p>
        </w:tc>
        <w:tc>
          <w:tcPr>
            <w:tcW w:w="3075" w:type="dxa"/>
            <w:shd w:val="clear" w:color="auto" w:fill="D9F2D0" w:themeFill="accent6" w:themeFillTint="33"/>
            <w:noWrap/>
            <w:vAlign w:val="center"/>
            <w:hideMark/>
          </w:tcPr>
          <w:p w14:paraId="04967F2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Single Family Homes Ownership Amendments</w:t>
            </w:r>
          </w:p>
        </w:tc>
        <w:tc>
          <w:tcPr>
            <w:tcW w:w="1195" w:type="dxa"/>
            <w:shd w:val="clear" w:color="auto" w:fill="D9F2D0" w:themeFill="accent6" w:themeFillTint="33"/>
            <w:noWrap/>
            <w:vAlign w:val="center"/>
            <w:hideMark/>
          </w:tcPr>
          <w:p w14:paraId="1C98AA3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D9F2D0" w:themeFill="accent6" w:themeFillTint="33"/>
            <w:noWrap/>
            <w:vAlign w:val="bottom"/>
            <w:hideMark/>
          </w:tcPr>
          <w:p w14:paraId="27C7293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prohibits an institutional investor from purchasing a </w:t>
            </w:r>
            <w:proofErr w:type="gramStart"/>
            <w:r w:rsidRPr="009F145E">
              <w:rPr>
                <w:rFonts w:ascii="Aptos Narrow" w:eastAsia="Times New Roman" w:hAnsi="Aptos Narrow" w:cs="Times New Roman"/>
                <w:color w:val="000000"/>
                <w:kern w:val="0"/>
                <w:sz w:val="22"/>
                <w:szCs w:val="22"/>
                <w14:ligatures w14:val="none"/>
              </w:rPr>
              <w:t>single family</w:t>
            </w:r>
            <w:proofErr w:type="gramEnd"/>
            <w:r w:rsidRPr="009F145E">
              <w:rPr>
                <w:rFonts w:ascii="Aptos Narrow" w:eastAsia="Times New Roman" w:hAnsi="Aptos Narrow" w:cs="Times New Roman"/>
                <w:color w:val="000000"/>
                <w:kern w:val="0"/>
                <w:sz w:val="22"/>
                <w:szCs w:val="22"/>
                <w14:ligatures w14:val="none"/>
              </w:rPr>
              <w:t xml:space="preserve"> home in this state; and provides that an institutional investor that does purchase a single family home in this state must alienate that home within one year of purchasing the home.</w:t>
            </w:r>
          </w:p>
        </w:tc>
      </w:tr>
      <w:tr w:rsidR="00810242" w:rsidRPr="009F145E" w14:paraId="43417159" w14:textId="77777777" w:rsidTr="008F3AA8">
        <w:trPr>
          <w:trHeight w:val="290"/>
          <w:jc w:val="center"/>
        </w:trPr>
        <w:tc>
          <w:tcPr>
            <w:tcW w:w="1173" w:type="dxa"/>
            <w:shd w:val="clear" w:color="auto" w:fill="auto"/>
            <w:noWrap/>
            <w:vAlign w:val="center"/>
            <w:hideMark/>
          </w:tcPr>
          <w:p w14:paraId="190210DD" w14:textId="177148BA"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3" w:history="1">
              <w:r w:rsidRPr="009F145E">
                <w:rPr>
                  <w:rStyle w:val="Hyperlink"/>
                  <w:rFonts w:ascii="Aptos Narrow" w:eastAsia="Times New Roman" w:hAnsi="Aptos Narrow" w:cs="Times New Roman"/>
                  <w:kern w:val="0"/>
                  <w:sz w:val="22"/>
                  <w:szCs w:val="22"/>
                  <w14:ligatures w14:val="none"/>
                </w:rPr>
                <w:t>HB0135</w:t>
              </w:r>
            </w:hyperlink>
          </w:p>
        </w:tc>
        <w:tc>
          <w:tcPr>
            <w:tcW w:w="3075" w:type="dxa"/>
            <w:shd w:val="clear" w:color="auto" w:fill="auto"/>
            <w:noWrap/>
            <w:vAlign w:val="center"/>
            <w:hideMark/>
          </w:tcPr>
          <w:p w14:paraId="7F4DA3A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Real Estate Modifications</w:t>
            </w:r>
          </w:p>
        </w:tc>
        <w:tc>
          <w:tcPr>
            <w:tcW w:w="1195" w:type="dxa"/>
            <w:shd w:val="clear" w:color="auto" w:fill="auto"/>
            <w:noWrap/>
            <w:vAlign w:val="center"/>
            <w:hideMark/>
          </w:tcPr>
          <w:p w14:paraId="608B644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LOUBEA</w:t>
            </w:r>
          </w:p>
        </w:tc>
        <w:tc>
          <w:tcPr>
            <w:tcW w:w="9235" w:type="dxa"/>
            <w:shd w:val="clear" w:color="auto" w:fill="auto"/>
            <w:noWrap/>
            <w:vAlign w:val="bottom"/>
            <w:hideMark/>
          </w:tcPr>
          <w:p w14:paraId="5E92DD5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provides for the issuance of an attorney opinion letter in lieu of title insurance for purposes of conducting escrow on real property transactions; and makes technical changes.</w:t>
            </w:r>
          </w:p>
        </w:tc>
      </w:tr>
      <w:tr w:rsidR="00810242" w:rsidRPr="009F145E" w14:paraId="344C392A" w14:textId="77777777" w:rsidTr="008F3AA8">
        <w:trPr>
          <w:trHeight w:val="290"/>
          <w:jc w:val="center"/>
        </w:trPr>
        <w:tc>
          <w:tcPr>
            <w:tcW w:w="1173" w:type="dxa"/>
            <w:shd w:val="clear" w:color="auto" w:fill="C1F0C7" w:themeFill="accent3" w:themeFillTint="33"/>
            <w:noWrap/>
            <w:vAlign w:val="center"/>
            <w:hideMark/>
          </w:tcPr>
          <w:p w14:paraId="40A64603" w14:textId="27D9F50C"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4" w:history="1">
              <w:r w:rsidRPr="009F145E">
                <w:rPr>
                  <w:rStyle w:val="Hyperlink"/>
                  <w:rFonts w:ascii="Aptos Narrow" w:eastAsia="Times New Roman" w:hAnsi="Aptos Narrow" w:cs="Times New Roman"/>
                  <w:kern w:val="0"/>
                  <w:sz w:val="22"/>
                  <w:szCs w:val="22"/>
                  <w14:ligatures w14:val="none"/>
                </w:rPr>
                <w:t>HB0151</w:t>
              </w:r>
            </w:hyperlink>
          </w:p>
        </w:tc>
        <w:tc>
          <w:tcPr>
            <w:tcW w:w="3075" w:type="dxa"/>
            <w:shd w:val="clear" w:color="auto" w:fill="C1F0C7" w:themeFill="accent3" w:themeFillTint="33"/>
            <w:noWrap/>
            <w:vAlign w:val="center"/>
            <w:hideMark/>
          </w:tcPr>
          <w:p w14:paraId="45D8C36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 Sales Amendments</w:t>
            </w:r>
          </w:p>
        </w:tc>
        <w:tc>
          <w:tcPr>
            <w:tcW w:w="1195" w:type="dxa"/>
            <w:shd w:val="clear" w:color="auto" w:fill="C1F0C7" w:themeFill="accent3" w:themeFillTint="33"/>
            <w:noWrap/>
            <w:vAlign w:val="center"/>
            <w:hideMark/>
          </w:tcPr>
          <w:p w14:paraId="27CCDF8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235" w:type="dxa"/>
            <w:shd w:val="clear" w:color="auto" w:fill="C1F0C7" w:themeFill="accent3" w:themeFillTint="33"/>
            <w:noWrap/>
            <w:vAlign w:val="bottom"/>
            <w:hideMark/>
          </w:tcPr>
          <w:p w14:paraId="79A7C56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a purchaser to sign an affidavit of intent to occupy when buying a single-family home within the first 30 days the single-family home is on the market, unless the seller incurs an exigent circumstance; requires that a purchaser record an affidavit of intent to occupy with a county recorder; and prohibits the bulk sale of foreclosed single-family homes.</w:t>
            </w:r>
          </w:p>
        </w:tc>
      </w:tr>
      <w:tr w:rsidR="00810242" w:rsidRPr="009F145E" w14:paraId="4F716AA1" w14:textId="77777777" w:rsidTr="008F3AA8">
        <w:trPr>
          <w:trHeight w:val="290"/>
          <w:jc w:val="center"/>
        </w:trPr>
        <w:tc>
          <w:tcPr>
            <w:tcW w:w="1173" w:type="dxa"/>
            <w:shd w:val="clear" w:color="auto" w:fill="C1F0C7" w:themeFill="accent3" w:themeFillTint="33"/>
            <w:noWrap/>
            <w:vAlign w:val="center"/>
            <w:hideMark/>
          </w:tcPr>
          <w:p w14:paraId="6B39BDC6" w14:textId="110A75A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5" w:history="1">
              <w:r w:rsidRPr="009F145E">
                <w:rPr>
                  <w:rStyle w:val="Hyperlink"/>
                  <w:rFonts w:ascii="Aptos Narrow" w:eastAsia="Times New Roman" w:hAnsi="Aptos Narrow" w:cs="Times New Roman"/>
                  <w:kern w:val="0"/>
                  <w:sz w:val="22"/>
                  <w:szCs w:val="22"/>
                  <w14:ligatures w14:val="none"/>
                </w:rPr>
                <w:t>HB0182</w:t>
              </w:r>
            </w:hyperlink>
          </w:p>
        </w:tc>
        <w:tc>
          <w:tcPr>
            <w:tcW w:w="3075" w:type="dxa"/>
            <w:shd w:val="clear" w:color="auto" w:fill="C1F0C7" w:themeFill="accent3" w:themeFillTint="33"/>
            <w:noWrap/>
            <w:vAlign w:val="center"/>
            <w:hideMark/>
          </w:tcPr>
          <w:p w14:paraId="213233A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Rental Amendments</w:t>
            </w:r>
          </w:p>
        </w:tc>
        <w:tc>
          <w:tcPr>
            <w:tcW w:w="1195" w:type="dxa"/>
            <w:shd w:val="clear" w:color="auto" w:fill="C1F0C7" w:themeFill="accent3" w:themeFillTint="33"/>
            <w:noWrap/>
            <w:vAlign w:val="bottom"/>
            <w:hideMark/>
          </w:tcPr>
          <w:p w14:paraId="1DF3E4D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235" w:type="dxa"/>
            <w:shd w:val="clear" w:color="auto" w:fill="C1F0C7" w:themeFill="accent3" w:themeFillTint="33"/>
            <w:noWrap/>
            <w:vAlign w:val="bottom"/>
            <w:hideMark/>
          </w:tcPr>
          <w:p w14:paraId="309E997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establishes </w:t>
            </w:r>
            <w:proofErr w:type="gramStart"/>
            <w:r w:rsidRPr="009F145E">
              <w:rPr>
                <w:rFonts w:ascii="Aptos Narrow" w:eastAsia="Times New Roman" w:hAnsi="Aptos Narrow" w:cs="Times New Roman"/>
                <w:color w:val="000000"/>
                <w:kern w:val="0"/>
                <w:sz w:val="22"/>
                <w:szCs w:val="22"/>
                <w14:ligatures w14:val="none"/>
              </w:rPr>
              <w:t>a period of time</w:t>
            </w:r>
            <w:proofErr w:type="gramEnd"/>
            <w:r w:rsidRPr="009F145E">
              <w:rPr>
                <w:rFonts w:ascii="Aptos Narrow" w:eastAsia="Times New Roman" w:hAnsi="Aptos Narrow" w:cs="Times New Roman"/>
                <w:color w:val="000000"/>
                <w:kern w:val="0"/>
                <w:sz w:val="22"/>
                <w:szCs w:val="22"/>
                <w14:ligatures w14:val="none"/>
              </w:rPr>
              <w:t xml:space="preserve"> by which a landlord must provide a notice of rent increase to a tenant; and makes technical and conforming changes.</w:t>
            </w:r>
          </w:p>
        </w:tc>
      </w:tr>
      <w:tr w:rsidR="00810242" w:rsidRPr="009F145E" w14:paraId="7323BF2D" w14:textId="77777777" w:rsidTr="00285E11">
        <w:trPr>
          <w:trHeight w:val="290"/>
          <w:jc w:val="center"/>
        </w:trPr>
        <w:tc>
          <w:tcPr>
            <w:tcW w:w="1173" w:type="dxa"/>
            <w:shd w:val="clear" w:color="auto" w:fill="D9F2D0" w:themeFill="accent6" w:themeFillTint="33"/>
            <w:noWrap/>
            <w:vAlign w:val="center"/>
            <w:hideMark/>
          </w:tcPr>
          <w:p w14:paraId="4D146F84" w14:textId="40F4E67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6" w:history="1">
              <w:r w:rsidRPr="009F145E">
                <w:rPr>
                  <w:rStyle w:val="Hyperlink"/>
                  <w:rFonts w:ascii="Aptos Narrow" w:eastAsia="Times New Roman" w:hAnsi="Aptos Narrow" w:cs="Times New Roman"/>
                  <w:kern w:val="0"/>
                  <w:sz w:val="22"/>
                  <w:szCs w:val="22"/>
                  <w14:ligatures w14:val="none"/>
                </w:rPr>
                <w:t>HB0157</w:t>
              </w:r>
            </w:hyperlink>
          </w:p>
        </w:tc>
        <w:tc>
          <w:tcPr>
            <w:tcW w:w="3075" w:type="dxa"/>
            <w:shd w:val="clear" w:color="auto" w:fill="D9F2D0" w:themeFill="accent6" w:themeFillTint="33"/>
            <w:noWrap/>
            <w:vAlign w:val="center"/>
            <w:hideMark/>
          </w:tcPr>
          <w:p w14:paraId="2406EA4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Energy Education Amendments</w:t>
            </w:r>
          </w:p>
        </w:tc>
        <w:tc>
          <w:tcPr>
            <w:tcW w:w="1195" w:type="dxa"/>
            <w:shd w:val="clear" w:color="auto" w:fill="D9F2D0" w:themeFill="accent6" w:themeFillTint="33"/>
            <w:noWrap/>
            <w:vAlign w:val="center"/>
            <w:hideMark/>
          </w:tcPr>
          <w:p w14:paraId="3857738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JACKC</w:t>
            </w:r>
          </w:p>
        </w:tc>
        <w:tc>
          <w:tcPr>
            <w:tcW w:w="9235" w:type="dxa"/>
            <w:shd w:val="clear" w:color="auto" w:fill="D9F2D0" w:themeFill="accent6" w:themeFillTint="33"/>
            <w:noWrap/>
            <w:vAlign w:val="bottom"/>
            <w:hideMark/>
          </w:tcPr>
          <w:p w14:paraId="0DF7B692" w14:textId="6651F78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the Office of Energy Development (office) to:</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develop and maintain energy education programs and curricula for grades K-12; develop and provide professional development training for educators; develop energy related workforce development programs; and establish the Energy Education and Workforce Development Task Force; outlines the responsibilities and duties of the task force; and requires the office to report annually to the Public Utilities, Energy, and Technology Interim Committee.</w:t>
            </w:r>
          </w:p>
        </w:tc>
      </w:tr>
      <w:tr w:rsidR="00810242" w:rsidRPr="009F145E" w14:paraId="5507A4AC" w14:textId="77777777" w:rsidTr="008F3AA8">
        <w:trPr>
          <w:trHeight w:val="290"/>
          <w:jc w:val="center"/>
        </w:trPr>
        <w:tc>
          <w:tcPr>
            <w:tcW w:w="1173" w:type="dxa"/>
            <w:shd w:val="clear" w:color="auto" w:fill="auto"/>
            <w:noWrap/>
            <w:vAlign w:val="center"/>
            <w:hideMark/>
          </w:tcPr>
          <w:p w14:paraId="3D6A0DC5" w14:textId="5DACA4D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7" w:history="1">
              <w:r w:rsidRPr="009F145E">
                <w:rPr>
                  <w:rStyle w:val="Hyperlink"/>
                  <w:rFonts w:ascii="Aptos Narrow" w:eastAsia="Times New Roman" w:hAnsi="Aptos Narrow" w:cs="Times New Roman"/>
                  <w:kern w:val="0"/>
                  <w:sz w:val="22"/>
                  <w:szCs w:val="22"/>
                  <w14:ligatures w14:val="none"/>
                </w:rPr>
                <w:t>HB0167</w:t>
              </w:r>
            </w:hyperlink>
          </w:p>
        </w:tc>
        <w:tc>
          <w:tcPr>
            <w:tcW w:w="3075" w:type="dxa"/>
            <w:shd w:val="clear" w:color="auto" w:fill="auto"/>
            <w:noWrap/>
            <w:vAlign w:val="center"/>
            <w:hideMark/>
          </w:tcPr>
          <w:p w14:paraId="289F121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Offender Reintegration Amendments</w:t>
            </w:r>
          </w:p>
        </w:tc>
        <w:tc>
          <w:tcPr>
            <w:tcW w:w="1195" w:type="dxa"/>
            <w:shd w:val="clear" w:color="auto" w:fill="auto"/>
            <w:noWrap/>
            <w:vAlign w:val="center"/>
            <w:hideMark/>
          </w:tcPr>
          <w:p w14:paraId="7986AA5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auto"/>
            <w:noWrap/>
            <w:vAlign w:val="bottom"/>
            <w:hideMark/>
          </w:tcPr>
          <w:p w14:paraId="3E40BFB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that a local mental health authority shall, to the extent feasible, coordinate with the Department of Corrections (department) to ensure the continuity of mental health services for county residents on probation or parole; provides that a criminal justice coordinating council shall identify strategies for: connecting county residents on probation or parole with certain county-based services; and educating and incentivizing employers to hire county residents who have a criminal record or a juvenile record; adds an expunged conviction and an arrest that occurred as a juvenile to the circumstances when a public employer may not exclude an applicant from an initial interview; modifies procedural requirements for appealing a denial of a license under the Division of Professional Licensing Act; reduces the amount of time following an individual's incarceration for purposes of defining unprofessional conduct in certain circumstances; creates the Rehabilitation and Reentry Services Restricted Account, which:  allows the department to accept donations and other funds; and&lt; restricts funds for specified purposes relating to the successful reintegration of offenders and former offenders into the general public; and makes technical and conforming changes.</w:t>
            </w:r>
          </w:p>
        </w:tc>
      </w:tr>
      <w:tr w:rsidR="00810242" w:rsidRPr="009F145E" w14:paraId="14C97977" w14:textId="77777777" w:rsidTr="008F3AA8">
        <w:trPr>
          <w:trHeight w:val="290"/>
          <w:jc w:val="center"/>
        </w:trPr>
        <w:tc>
          <w:tcPr>
            <w:tcW w:w="1173" w:type="dxa"/>
            <w:shd w:val="clear" w:color="auto" w:fill="auto"/>
            <w:noWrap/>
            <w:vAlign w:val="center"/>
            <w:hideMark/>
          </w:tcPr>
          <w:p w14:paraId="2145487B" w14:textId="06DBB961"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8" w:history="1">
              <w:r w:rsidRPr="009F145E">
                <w:rPr>
                  <w:rStyle w:val="Hyperlink"/>
                  <w:rFonts w:ascii="Aptos Narrow" w:eastAsia="Times New Roman" w:hAnsi="Aptos Narrow" w:cs="Times New Roman"/>
                  <w:kern w:val="0"/>
                  <w:sz w:val="22"/>
                  <w:szCs w:val="22"/>
                  <w14:ligatures w14:val="none"/>
                </w:rPr>
                <w:t>HB0199</w:t>
              </w:r>
            </w:hyperlink>
          </w:p>
        </w:tc>
        <w:tc>
          <w:tcPr>
            <w:tcW w:w="3075" w:type="dxa"/>
            <w:shd w:val="clear" w:color="auto" w:fill="auto"/>
            <w:noWrap/>
            <w:vAlign w:val="center"/>
            <w:hideMark/>
          </w:tcPr>
          <w:p w14:paraId="79FA630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Substance Use Treatment and Enforcement Amendments</w:t>
            </w:r>
          </w:p>
        </w:tc>
        <w:tc>
          <w:tcPr>
            <w:tcW w:w="1195" w:type="dxa"/>
            <w:shd w:val="clear" w:color="auto" w:fill="auto"/>
            <w:noWrap/>
            <w:vAlign w:val="center"/>
            <w:hideMark/>
          </w:tcPr>
          <w:p w14:paraId="15B62DA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auto"/>
            <w:noWrap/>
            <w:vAlign w:val="bottom"/>
            <w:hideMark/>
          </w:tcPr>
          <w:p w14:paraId="09015FEB" w14:textId="5ED5966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a local substance abuse authority to include in the authority's annual plan a comprehensive list of available substance use services, in a form and format usable by first responders; requires a local mental health authority to include in the authority's annual plan a comprehensive list of available mental health services, in a form and format usable by first responders;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allows and encourages first responders to offer a referral to substance use or mental health services to an individual who experiences an intentional or accidental overdose; addresses requirements for syringe exchange programs and information collected relating to syringe exchange programs; allows a substance use disorder treatment provider to operate a mobile unit to provide medication to treat substance use withdrawal symptoms or an opioid use disorder, and provides certain requirements for operation of a mobile unit; grants rulemaking authority to the Department of Health and Human Services regarding the requirements for operating a mobile unit to provide medication to treat substance use withdrawal symptoms or an opioid use disorder; amends criminal provisions of the Utah Controlled Substances Act, including the creation of a treatment-mandated felony option for certain convictions; creates the crime of maintenance of a drug-involved premises; amends provisions regarding civil nuisance actions, including provisions that relate to a nuisance caused by unlawful actions involving a controlled substance;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repeals intent language; and makes technical and conforming changes.</w:t>
            </w:r>
          </w:p>
        </w:tc>
      </w:tr>
      <w:tr w:rsidR="00810242" w:rsidRPr="009F145E" w14:paraId="20EA8566" w14:textId="77777777" w:rsidTr="008F3AA8">
        <w:trPr>
          <w:trHeight w:val="290"/>
          <w:jc w:val="center"/>
        </w:trPr>
        <w:tc>
          <w:tcPr>
            <w:tcW w:w="1173" w:type="dxa"/>
            <w:shd w:val="clear" w:color="auto" w:fill="C1F0C7" w:themeFill="accent3" w:themeFillTint="33"/>
            <w:noWrap/>
            <w:vAlign w:val="center"/>
            <w:hideMark/>
          </w:tcPr>
          <w:p w14:paraId="10457B76" w14:textId="06FF7033"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29" w:history="1">
              <w:r w:rsidRPr="009F145E">
                <w:rPr>
                  <w:rStyle w:val="Hyperlink"/>
                  <w:rFonts w:ascii="Aptos Narrow" w:eastAsia="Times New Roman" w:hAnsi="Aptos Narrow" w:cs="Times New Roman"/>
                  <w:kern w:val="0"/>
                  <w:sz w:val="22"/>
                  <w:szCs w:val="22"/>
                  <w14:ligatures w14:val="none"/>
                </w:rPr>
                <w:t>HB0175</w:t>
              </w:r>
            </w:hyperlink>
          </w:p>
        </w:tc>
        <w:tc>
          <w:tcPr>
            <w:tcW w:w="3075" w:type="dxa"/>
            <w:shd w:val="clear" w:color="auto" w:fill="C1F0C7" w:themeFill="accent3" w:themeFillTint="33"/>
            <w:noWrap/>
            <w:vAlign w:val="center"/>
            <w:hideMark/>
          </w:tcPr>
          <w:p w14:paraId="549E1E4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Construction Amendments</w:t>
            </w:r>
          </w:p>
        </w:tc>
        <w:tc>
          <w:tcPr>
            <w:tcW w:w="1195" w:type="dxa"/>
            <w:shd w:val="clear" w:color="auto" w:fill="C1F0C7" w:themeFill="accent3" w:themeFillTint="33"/>
            <w:noWrap/>
            <w:vAlign w:val="bottom"/>
            <w:hideMark/>
          </w:tcPr>
          <w:p w14:paraId="50FD784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235" w:type="dxa"/>
            <w:shd w:val="clear" w:color="auto" w:fill="C1F0C7" w:themeFill="accent3" w:themeFillTint="33"/>
            <w:noWrap/>
            <w:vAlign w:val="bottom"/>
            <w:hideMark/>
          </w:tcPr>
          <w:p w14:paraId="26FBB20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Amends adopted language from Section R101.2 of the International Residential Code to include three- and four-family dwellings.</w:t>
            </w:r>
          </w:p>
        </w:tc>
      </w:tr>
      <w:tr w:rsidR="00810242" w:rsidRPr="009F145E" w14:paraId="2A7537CB" w14:textId="77777777" w:rsidTr="00285E11">
        <w:trPr>
          <w:trHeight w:val="290"/>
          <w:jc w:val="center"/>
        </w:trPr>
        <w:tc>
          <w:tcPr>
            <w:tcW w:w="1173" w:type="dxa"/>
            <w:shd w:val="clear" w:color="auto" w:fill="auto"/>
            <w:noWrap/>
            <w:vAlign w:val="center"/>
            <w:hideMark/>
          </w:tcPr>
          <w:p w14:paraId="600C6A60" w14:textId="40B15D12"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0" w:history="1">
              <w:r w:rsidRPr="009F145E">
                <w:rPr>
                  <w:rStyle w:val="Hyperlink"/>
                  <w:rFonts w:ascii="Aptos Narrow" w:eastAsia="Times New Roman" w:hAnsi="Aptos Narrow" w:cs="Times New Roman"/>
                  <w:kern w:val="0"/>
                  <w:sz w:val="22"/>
                  <w:szCs w:val="22"/>
                  <w14:ligatures w14:val="none"/>
                </w:rPr>
                <w:t>HB0217</w:t>
              </w:r>
            </w:hyperlink>
          </w:p>
        </w:tc>
        <w:tc>
          <w:tcPr>
            <w:tcW w:w="3075" w:type="dxa"/>
            <w:shd w:val="clear" w:color="auto" w:fill="auto"/>
            <w:noWrap/>
            <w:vAlign w:val="center"/>
            <w:hideMark/>
          </w:tcPr>
          <w:p w14:paraId="5759DA4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Amendments</w:t>
            </w:r>
          </w:p>
        </w:tc>
        <w:tc>
          <w:tcPr>
            <w:tcW w:w="1195" w:type="dxa"/>
            <w:shd w:val="clear" w:color="auto" w:fill="auto"/>
            <w:noWrap/>
            <w:vAlign w:val="center"/>
            <w:hideMark/>
          </w:tcPr>
          <w:p w14:paraId="2D18149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235" w:type="dxa"/>
            <w:shd w:val="clear" w:color="auto" w:fill="auto"/>
            <w:noWrap/>
            <w:vAlign w:val="bottom"/>
            <w:hideMark/>
          </w:tcPr>
          <w:p w14:paraId="0FD99D5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establishes the Office of the Homeowners' Association Ombudsman; establishes the duties, jurisdiction, and functions of the Office of the Homeowners' Association Ombudsman; requires the Office of the Homeowners' Association Ombudsman to issue an advisory opinion under certain circumstances; provides the circumstances under which an advisory opinion of the Office of the Homeowners' Association Ombudsman is admissible in a subsequent proceeding; makes void and unenforceable a homeowners' association transfer fee; establishes requirements for a homeowners' association to impose a reinvestment fee; changes requirements for amending governing documents; sets limits on the amount a homeowners' association may charge as a late fee; requires that a homeowners' association provide, upon request, certain documents; prohibits a declarant from selling a part of a common area during the period of administrative control; and prohibits a homeowners' association from charging any costs associated with producing certain documents.</w:t>
            </w:r>
          </w:p>
        </w:tc>
      </w:tr>
      <w:tr w:rsidR="00810242" w:rsidRPr="009F145E" w14:paraId="6F1C470B" w14:textId="77777777" w:rsidTr="00F51B0F">
        <w:trPr>
          <w:trHeight w:val="290"/>
          <w:jc w:val="center"/>
        </w:trPr>
        <w:tc>
          <w:tcPr>
            <w:tcW w:w="1173" w:type="dxa"/>
            <w:shd w:val="clear" w:color="auto" w:fill="auto"/>
            <w:noWrap/>
            <w:vAlign w:val="center"/>
            <w:hideMark/>
          </w:tcPr>
          <w:p w14:paraId="6DEA3AE3" w14:textId="18787F3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1" w:history="1">
              <w:r w:rsidRPr="009F145E">
                <w:rPr>
                  <w:rStyle w:val="Hyperlink"/>
                  <w:rFonts w:ascii="Aptos Narrow" w:eastAsia="Times New Roman" w:hAnsi="Aptos Narrow" w:cs="Times New Roman"/>
                  <w:kern w:val="0"/>
                  <w:sz w:val="22"/>
                  <w:szCs w:val="22"/>
                  <w14:ligatures w14:val="none"/>
                </w:rPr>
                <w:t>HB0255</w:t>
              </w:r>
            </w:hyperlink>
          </w:p>
        </w:tc>
        <w:tc>
          <w:tcPr>
            <w:tcW w:w="3075" w:type="dxa"/>
            <w:shd w:val="clear" w:color="auto" w:fill="auto"/>
            <w:noWrap/>
            <w:vAlign w:val="center"/>
            <w:hideMark/>
          </w:tcPr>
          <w:p w14:paraId="4DE215F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Local Land Use Modifications</w:t>
            </w:r>
          </w:p>
        </w:tc>
        <w:tc>
          <w:tcPr>
            <w:tcW w:w="1195" w:type="dxa"/>
            <w:shd w:val="clear" w:color="auto" w:fill="auto"/>
            <w:noWrap/>
            <w:vAlign w:val="bottom"/>
            <w:hideMark/>
          </w:tcPr>
          <w:p w14:paraId="7572911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CHEWSH</w:t>
            </w:r>
          </w:p>
        </w:tc>
        <w:tc>
          <w:tcPr>
            <w:tcW w:w="9235" w:type="dxa"/>
            <w:shd w:val="clear" w:color="auto" w:fill="auto"/>
            <w:noWrap/>
            <w:vAlign w:val="bottom"/>
            <w:hideMark/>
          </w:tcPr>
          <w:p w14:paraId="47359ED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authorizes an owner of at least 50 contiguous acres of agricultural land in a county of the third, fourth, fifth, or sixth class to create a new lot that, after the division, is separate from the remainder of the original 50 contiguous acres of agricultural land; provides that a minor subdivision lot may not be less than 500 feet from another minor subdivision lot within the same divided agricultural property; and makes technical and conforming changes.</w:t>
            </w:r>
          </w:p>
        </w:tc>
      </w:tr>
      <w:tr w:rsidR="00810242" w:rsidRPr="009F145E" w14:paraId="150EB9DB" w14:textId="77777777" w:rsidTr="00285E11">
        <w:trPr>
          <w:trHeight w:val="290"/>
          <w:jc w:val="center"/>
        </w:trPr>
        <w:tc>
          <w:tcPr>
            <w:tcW w:w="1173" w:type="dxa"/>
            <w:shd w:val="clear" w:color="auto" w:fill="auto"/>
            <w:noWrap/>
            <w:vAlign w:val="center"/>
            <w:hideMark/>
          </w:tcPr>
          <w:p w14:paraId="2ADE6B21" w14:textId="1841261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2" w:history="1">
              <w:r w:rsidRPr="009F145E">
                <w:rPr>
                  <w:rStyle w:val="Hyperlink"/>
                  <w:rFonts w:ascii="Aptos Narrow" w:eastAsia="Times New Roman" w:hAnsi="Aptos Narrow" w:cs="Times New Roman"/>
                  <w:kern w:val="0"/>
                  <w:sz w:val="22"/>
                  <w:szCs w:val="22"/>
                  <w14:ligatures w14:val="none"/>
                </w:rPr>
                <w:t>HB0224</w:t>
              </w:r>
            </w:hyperlink>
          </w:p>
        </w:tc>
        <w:tc>
          <w:tcPr>
            <w:tcW w:w="3075" w:type="dxa"/>
            <w:shd w:val="clear" w:color="auto" w:fill="auto"/>
            <w:noWrap/>
            <w:vAlign w:val="center"/>
            <w:hideMark/>
          </w:tcPr>
          <w:p w14:paraId="31C0ADD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Inmate Reentry, Finances, and Debt Modifications</w:t>
            </w:r>
          </w:p>
        </w:tc>
        <w:tc>
          <w:tcPr>
            <w:tcW w:w="1195" w:type="dxa"/>
            <w:shd w:val="clear" w:color="auto" w:fill="auto"/>
            <w:noWrap/>
            <w:vAlign w:val="center"/>
            <w:hideMark/>
          </w:tcPr>
          <w:p w14:paraId="47D9538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BALLAMG</w:t>
            </w:r>
          </w:p>
        </w:tc>
        <w:tc>
          <w:tcPr>
            <w:tcW w:w="9235" w:type="dxa"/>
            <w:shd w:val="clear" w:color="auto" w:fill="auto"/>
            <w:noWrap/>
            <w:vAlign w:val="bottom"/>
            <w:hideMark/>
          </w:tcPr>
          <w:p w14:paraId="7765BCF3" w14:textId="42F7AAA2"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with a delayed implementation date, a county jail to notify certain state agencies that may have information concerning an inmate's existing debts when an inmate is incarcerated in the county jail for more than 90 days and when the inmate is released from the county jail;</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with a delayed implementation date, the Office of State Debt Collection to suspend the accrual of interest on certain accounts receivable during periods of at least 90 days of incarceration and for an additional period after release; expands the duties of the reentry division created by the Department of Corrections (department); requires the department to provide information to an inmate on a regular basis concerning: the inmate's known debts; incentives for paying certain debts while incarcerated; and information on how to access additional information concerning debts and resources on financial literacy and money management; requires the department: with a delayed implementation date, to notify certain state agencies that may have information concerning an inmate's existing debts when an inmate enters and leaves incarceration; and to provide educational resources to individuals designated by an inmate concerning incentives for repaying certain debts while incarcerated; amends provisions concerning when incarceration may not be considered by the Office of Recovery Services (office) as voluntary unemployment for purposes of a child support order; requires the office to suspend child support orders and money judgments in certain circumstances relating to incarceration; provides that the office shall resume a suspended child support obligation after the offender has been released for 90 days; and makes technical and conforming changes.</w:t>
            </w:r>
          </w:p>
        </w:tc>
      </w:tr>
      <w:tr w:rsidR="00810242" w:rsidRPr="009F145E" w14:paraId="031DCF9A" w14:textId="77777777" w:rsidTr="00285E11">
        <w:trPr>
          <w:trHeight w:val="290"/>
          <w:jc w:val="center"/>
        </w:trPr>
        <w:tc>
          <w:tcPr>
            <w:tcW w:w="1173" w:type="dxa"/>
            <w:shd w:val="clear" w:color="auto" w:fill="auto"/>
            <w:noWrap/>
            <w:vAlign w:val="center"/>
            <w:hideMark/>
          </w:tcPr>
          <w:p w14:paraId="70FCB888" w14:textId="7934EF3E"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3" w:history="1">
              <w:r w:rsidRPr="009F145E">
                <w:rPr>
                  <w:rStyle w:val="Hyperlink"/>
                  <w:rFonts w:ascii="Aptos Narrow" w:eastAsia="Times New Roman" w:hAnsi="Aptos Narrow" w:cs="Times New Roman"/>
                  <w:kern w:val="0"/>
                  <w:sz w:val="22"/>
                  <w:szCs w:val="22"/>
                  <w14:ligatures w14:val="none"/>
                </w:rPr>
                <w:t>HB0256</w:t>
              </w:r>
            </w:hyperlink>
          </w:p>
        </w:tc>
        <w:tc>
          <w:tcPr>
            <w:tcW w:w="3075" w:type="dxa"/>
            <w:shd w:val="clear" w:color="auto" w:fill="auto"/>
            <w:noWrap/>
            <w:vAlign w:val="center"/>
            <w:hideMark/>
          </w:tcPr>
          <w:p w14:paraId="2A403F8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Municipal Zoning Amendments</w:t>
            </w:r>
          </w:p>
        </w:tc>
        <w:tc>
          <w:tcPr>
            <w:tcW w:w="1195" w:type="dxa"/>
            <w:shd w:val="clear" w:color="auto" w:fill="auto"/>
            <w:noWrap/>
            <w:vAlign w:val="center"/>
            <w:hideMark/>
          </w:tcPr>
          <w:p w14:paraId="7DD1FD4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235" w:type="dxa"/>
            <w:shd w:val="clear" w:color="auto" w:fill="auto"/>
            <w:noWrap/>
            <w:vAlign w:val="bottom"/>
            <w:hideMark/>
          </w:tcPr>
          <w:p w14:paraId="7BEE6175" w14:textId="3259F20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and modifies definitions; clarifies that a municipality or county that regulates short-term rentals may use a listing or offering on a short-term rental website as evidence that a short-term rental took place so long as the municipality or county has additional information to support its position that a property owner violated a municipality or county ordinance; provides that a municipality or county may provide notice to a short-term rental website indicating that a listing or offering violates business licensing requirements or zoning requirements; provides that a short-term rental website is not obligated to remove a listing or offering unless it has received notice from a municipality or county; provides that a municipality or county that imposes transient room tax on short-term rentals may provide a listing or offering on a short-term rental website to the county auditor as evidence that a short-term rental owner may be subject to the transient room tax; and makes technical and conforming changes.</w:t>
            </w:r>
          </w:p>
        </w:tc>
      </w:tr>
      <w:tr w:rsidR="00810242" w:rsidRPr="009F145E" w14:paraId="0CEF3D07" w14:textId="77777777" w:rsidTr="00285E11">
        <w:trPr>
          <w:trHeight w:val="290"/>
          <w:jc w:val="center"/>
        </w:trPr>
        <w:tc>
          <w:tcPr>
            <w:tcW w:w="1173" w:type="dxa"/>
            <w:shd w:val="clear" w:color="auto" w:fill="C1F0C7" w:themeFill="accent3" w:themeFillTint="33"/>
            <w:noWrap/>
            <w:vAlign w:val="center"/>
            <w:hideMark/>
          </w:tcPr>
          <w:p w14:paraId="29B1F16E" w14:textId="7F024F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4" w:history="1">
              <w:r w:rsidRPr="009F145E">
                <w:rPr>
                  <w:rStyle w:val="Hyperlink"/>
                  <w:rFonts w:ascii="Aptos Narrow" w:eastAsia="Times New Roman" w:hAnsi="Aptos Narrow" w:cs="Times New Roman"/>
                  <w:kern w:val="0"/>
                  <w:sz w:val="22"/>
                  <w:szCs w:val="22"/>
                  <w14:ligatures w14:val="none"/>
                </w:rPr>
                <w:t>HB0286</w:t>
              </w:r>
            </w:hyperlink>
          </w:p>
        </w:tc>
        <w:tc>
          <w:tcPr>
            <w:tcW w:w="3075" w:type="dxa"/>
            <w:shd w:val="clear" w:color="auto" w:fill="C1F0C7" w:themeFill="accent3" w:themeFillTint="33"/>
            <w:noWrap/>
            <w:vAlign w:val="center"/>
            <w:hideMark/>
          </w:tcPr>
          <w:p w14:paraId="2A87E26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Olene Walker Housing Loan Fund Amendments</w:t>
            </w:r>
          </w:p>
        </w:tc>
        <w:tc>
          <w:tcPr>
            <w:tcW w:w="1195" w:type="dxa"/>
            <w:shd w:val="clear" w:color="auto" w:fill="C1F0C7" w:themeFill="accent3" w:themeFillTint="33"/>
            <w:noWrap/>
            <w:vAlign w:val="center"/>
            <w:hideMark/>
          </w:tcPr>
          <w:p w14:paraId="3A065BC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MOSSCS</w:t>
            </w:r>
          </w:p>
        </w:tc>
        <w:tc>
          <w:tcPr>
            <w:tcW w:w="9235" w:type="dxa"/>
            <w:shd w:val="clear" w:color="auto" w:fill="C1F0C7" w:themeFill="accent3" w:themeFillTint="33"/>
            <w:noWrap/>
            <w:vAlign w:val="bottom"/>
            <w:hideMark/>
          </w:tcPr>
          <w:p w14:paraId="20FC5FAD" w14:textId="7ECB08D1"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the Division of Finance to annually transfer a certain amount of state liquor sale revenues from the Liquor Control Fund to the Olene Walker Housing Loan Fund (fund); requires the executive director of the Department of Workforce Services to distribute the transferred portion of the fund for certain purposes; and</w:t>
            </w:r>
            <w:r w:rsidR="008E3410">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810242" w:rsidRPr="009F145E" w14:paraId="0B1E41C2" w14:textId="77777777" w:rsidTr="00285E11">
        <w:trPr>
          <w:trHeight w:val="290"/>
          <w:jc w:val="center"/>
        </w:trPr>
        <w:tc>
          <w:tcPr>
            <w:tcW w:w="1173" w:type="dxa"/>
            <w:shd w:val="clear" w:color="auto" w:fill="D9F2D0" w:themeFill="accent6" w:themeFillTint="33"/>
            <w:noWrap/>
            <w:vAlign w:val="center"/>
            <w:hideMark/>
          </w:tcPr>
          <w:p w14:paraId="5104EC77" w14:textId="6E40422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5" w:history="1">
              <w:r w:rsidRPr="009F145E">
                <w:rPr>
                  <w:rStyle w:val="Hyperlink"/>
                  <w:rFonts w:ascii="Aptos Narrow" w:eastAsia="Times New Roman" w:hAnsi="Aptos Narrow" w:cs="Times New Roman"/>
                  <w:kern w:val="0"/>
                  <w:sz w:val="22"/>
                  <w:szCs w:val="22"/>
                  <w14:ligatures w14:val="none"/>
                </w:rPr>
                <w:t>HB0266</w:t>
              </w:r>
            </w:hyperlink>
          </w:p>
        </w:tc>
        <w:tc>
          <w:tcPr>
            <w:tcW w:w="3075" w:type="dxa"/>
            <w:shd w:val="clear" w:color="auto" w:fill="D9F2D0" w:themeFill="accent6" w:themeFillTint="33"/>
            <w:noWrap/>
            <w:vAlign w:val="center"/>
            <w:hideMark/>
          </w:tcPr>
          <w:p w14:paraId="44F0708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Veteran Housing Amendments</w:t>
            </w:r>
          </w:p>
        </w:tc>
        <w:tc>
          <w:tcPr>
            <w:tcW w:w="1195" w:type="dxa"/>
            <w:shd w:val="clear" w:color="auto" w:fill="D9F2D0" w:themeFill="accent6" w:themeFillTint="33"/>
            <w:noWrap/>
            <w:vAlign w:val="center"/>
            <w:hideMark/>
          </w:tcPr>
          <w:p w14:paraId="571A39C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DAILEJ</w:t>
            </w:r>
          </w:p>
        </w:tc>
        <w:tc>
          <w:tcPr>
            <w:tcW w:w="9235" w:type="dxa"/>
            <w:shd w:val="clear" w:color="auto" w:fill="D9F2D0" w:themeFill="accent6" w:themeFillTint="33"/>
            <w:noWrap/>
            <w:vAlign w:val="bottom"/>
            <w:hideMark/>
          </w:tcPr>
          <w:p w14:paraId="24271A0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the Utah Homeless Services Board and the Department of Veterans and Military Affairs to work in conjunction to create best practices for assisting veterans experiencing homelessness; and makes technical and conforming changes.</w:t>
            </w:r>
          </w:p>
        </w:tc>
      </w:tr>
      <w:tr w:rsidR="00810242" w:rsidRPr="009F145E" w14:paraId="7D54D1FC" w14:textId="77777777" w:rsidTr="00285E11">
        <w:trPr>
          <w:trHeight w:val="290"/>
          <w:jc w:val="center"/>
        </w:trPr>
        <w:tc>
          <w:tcPr>
            <w:tcW w:w="1173" w:type="dxa"/>
            <w:shd w:val="clear" w:color="auto" w:fill="auto"/>
            <w:noWrap/>
            <w:vAlign w:val="center"/>
            <w:hideMark/>
          </w:tcPr>
          <w:p w14:paraId="22CD6055" w14:textId="7C16B55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6" w:history="1">
              <w:r w:rsidRPr="009F145E">
                <w:rPr>
                  <w:rStyle w:val="Hyperlink"/>
                  <w:rFonts w:ascii="Aptos Narrow" w:eastAsia="Times New Roman" w:hAnsi="Aptos Narrow" w:cs="Times New Roman"/>
                  <w:kern w:val="0"/>
                  <w:sz w:val="22"/>
                  <w:szCs w:val="22"/>
                  <w14:ligatures w14:val="none"/>
                </w:rPr>
                <w:t>HB0262</w:t>
              </w:r>
            </w:hyperlink>
          </w:p>
        </w:tc>
        <w:tc>
          <w:tcPr>
            <w:tcW w:w="3075" w:type="dxa"/>
            <w:shd w:val="clear" w:color="auto" w:fill="auto"/>
            <w:noWrap/>
            <w:vAlign w:val="center"/>
            <w:hideMark/>
          </w:tcPr>
          <w:p w14:paraId="3BF560D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HOA Board Education Amendments</w:t>
            </w:r>
          </w:p>
        </w:tc>
        <w:tc>
          <w:tcPr>
            <w:tcW w:w="1195" w:type="dxa"/>
            <w:shd w:val="clear" w:color="auto" w:fill="auto"/>
            <w:noWrap/>
            <w:vAlign w:val="center"/>
            <w:hideMark/>
          </w:tcPr>
          <w:p w14:paraId="4F90E84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ACTONCK</w:t>
            </w:r>
          </w:p>
        </w:tc>
        <w:tc>
          <w:tcPr>
            <w:tcW w:w="9235" w:type="dxa"/>
            <w:shd w:val="clear" w:color="auto" w:fill="auto"/>
            <w:noWrap/>
            <w:vAlign w:val="bottom"/>
            <w:hideMark/>
          </w:tcPr>
          <w:p w14:paraId="052BD346" w14:textId="3FA7B77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that a homeowners' association board member complete education requirements; requires that a homeowners' association board member or secretary maintain a record of completing the education requirements for at least three years; requires that a homeowners' association board member report completion of the education requirements to the homeowners' association secretary; provides a remedy for an owner for when a homeowners' association board member fails to meet the education requirements; describes how a homeowners' association board member may remedy noncompliance with education requirements;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creates a standard for a person that offers education requirements; and requires that the Department of Commerce maintain a list of persons authorized to offer education requirements.</w:t>
            </w:r>
          </w:p>
        </w:tc>
      </w:tr>
      <w:tr w:rsidR="00810242" w:rsidRPr="009F145E" w14:paraId="06E9A120" w14:textId="77777777" w:rsidTr="00F51B0F">
        <w:trPr>
          <w:trHeight w:val="290"/>
          <w:jc w:val="center"/>
        </w:trPr>
        <w:tc>
          <w:tcPr>
            <w:tcW w:w="1173" w:type="dxa"/>
            <w:shd w:val="clear" w:color="auto" w:fill="auto"/>
            <w:noWrap/>
            <w:vAlign w:val="center"/>
            <w:hideMark/>
          </w:tcPr>
          <w:p w14:paraId="3A089B2C" w14:textId="04C57D3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7" w:history="1">
              <w:r w:rsidRPr="009F145E">
                <w:rPr>
                  <w:rStyle w:val="Hyperlink"/>
                  <w:rFonts w:ascii="Aptos Narrow" w:eastAsia="Times New Roman" w:hAnsi="Aptos Narrow" w:cs="Times New Roman"/>
                  <w:kern w:val="0"/>
                  <w:sz w:val="22"/>
                  <w:szCs w:val="22"/>
                  <w14:ligatures w14:val="none"/>
                </w:rPr>
                <w:t>HB0264</w:t>
              </w:r>
            </w:hyperlink>
          </w:p>
        </w:tc>
        <w:tc>
          <w:tcPr>
            <w:tcW w:w="3075" w:type="dxa"/>
            <w:shd w:val="clear" w:color="auto" w:fill="auto"/>
            <w:noWrap/>
            <w:vAlign w:val="center"/>
            <w:hideMark/>
          </w:tcPr>
          <w:p w14:paraId="7735ACB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Tax Incentives Amendments</w:t>
            </w:r>
          </w:p>
        </w:tc>
        <w:tc>
          <w:tcPr>
            <w:tcW w:w="1195" w:type="dxa"/>
            <w:shd w:val="clear" w:color="auto" w:fill="auto"/>
            <w:noWrap/>
            <w:vAlign w:val="bottom"/>
            <w:hideMark/>
          </w:tcPr>
          <w:p w14:paraId="6130D2F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CHRISKJ</w:t>
            </w:r>
          </w:p>
        </w:tc>
        <w:tc>
          <w:tcPr>
            <w:tcW w:w="9235" w:type="dxa"/>
            <w:shd w:val="clear" w:color="auto" w:fill="auto"/>
            <w:noWrap/>
            <w:vAlign w:val="bottom"/>
            <w:hideMark/>
          </w:tcPr>
          <w:p w14:paraId="291ADE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that a taxpayer may claim a corporate or individual income tax credit for clean energy systems for a taxable year that begins before January 1, 2032; schedules the future repeal of the clean energy system income tax credits; repeals the individual income tax credit for qualifying solar projects and the corporate and individual income tax credits for alternative energy development; and makes technical changes.</w:t>
            </w:r>
          </w:p>
        </w:tc>
      </w:tr>
      <w:tr w:rsidR="00810242" w:rsidRPr="009F145E" w14:paraId="4CCEFF9E" w14:textId="77777777" w:rsidTr="00F51B0F">
        <w:trPr>
          <w:trHeight w:val="290"/>
          <w:jc w:val="center"/>
        </w:trPr>
        <w:tc>
          <w:tcPr>
            <w:tcW w:w="1173" w:type="dxa"/>
            <w:shd w:val="clear" w:color="auto" w:fill="auto"/>
            <w:noWrap/>
            <w:vAlign w:val="center"/>
            <w:hideMark/>
          </w:tcPr>
          <w:p w14:paraId="4BD6FCDA" w14:textId="71F60F7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8" w:history="1">
              <w:r w:rsidRPr="009F145E">
                <w:rPr>
                  <w:rStyle w:val="Hyperlink"/>
                  <w:rFonts w:ascii="Aptos Narrow" w:eastAsia="Times New Roman" w:hAnsi="Aptos Narrow" w:cs="Times New Roman"/>
                  <w:kern w:val="0"/>
                  <w:sz w:val="22"/>
                  <w:szCs w:val="22"/>
                  <w14:ligatures w14:val="none"/>
                </w:rPr>
                <w:t>HB0305</w:t>
              </w:r>
            </w:hyperlink>
          </w:p>
        </w:tc>
        <w:tc>
          <w:tcPr>
            <w:tcW w:w="3075" w:type="dxa"/>
            <w:shd w:val="clear" w:color="auto" w:fill="auto"/>
            <w:noWrap/>
            <w:vAlign w:val="center"/>
            <w:hideMark/>
          </w:tcPr>
          <w:p w14:paraId="11AF01D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Cohabitant Definition Amendments</w:t>
            </w:r>
          </w:p>
        </w:tc>
        <w:tc>
          <w:tcPr>
            <w:tcW w:w="1195" w:type="dxa"/>
            <w:shd w:val="clear" w:color="auto" w:fill="auto"/>
            <w:noWrap/>
            <w:vAlign w:val="bottom"/>
            <w:hideMark/>
          </w:tcPr>
          <w:p w14:paraId="01E5D23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MOSSCS</w:t>
            </w:r>
          </w:p>
        </w:tc>
        <w:tc>
          <w:tcPr>
            <w:tcW w:w="9235" w:type="dxa"/>
            <w:shd w:val="clear" w:color="auto" w:fill="auto"/>
            <w:noWrap/>
            <w:vAlign w:val="bottom"/>
            <w:hideMark/>
          </w:tcPr>
          <w:p w14:paraId="68BD9A2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Amends the definition of cohabitant; defines terms related to the definition of cohabitant; and makes technical and conforming changes.</w:t>
            </w:r>
          </w:p>
        </w:tc>
      </w:tr>
      <w:tr w:rsidR="00810242" w:rsidRPr="009F145E" w14:paraId="67DD2068" w14:textId="77777777" w:rsidTr="00F51B0F">
        <w:trPr>
          <w:trHeight w:val="290"/>
          <w:jc w:val="center"/>
        </w:trPr>
        <w:tc>
          <w:tcPr>
            <w:tcW w:w="1173" w:type="dxa"/>
            <w:shd w:val="clear" w:color="auto" w:fill="auto"/>
            <w:noWrap/>
            <w:vAlign w:val="center"/>
            <w:hideMark/>
          </w:tcPr>
          <w:p w14:paraId="3C312525" w14:textId="4BBFB49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39" w:history="1">
              <w:r w:rsidRPr="009F145E">
                <w:rPr>
                  <w:rStyle w:val="Hyperlink"/>
                  <w:rFonts w:ascii="Aptos Narrow" w:eastAsia="Times New Roman" w:hAnsi="Aptos Narrow" w:cs="Times New Roman"/>
                  <w:kern w:val="0"/>
                  <w:sz w:val="22"/>
                  <w:szCs w:val="22"/>
                  <w14:ligatures w14:val="none"/>
                </w:rPr>
                <w:t>HB0316</w:t>
              </w:r>
            </w:hyperlink>
          </w:p>
        </w:tc>
        <w:tc>
          <w:tcPr>
            <w:tcW w:w="3075" w:type="dxa"/>
            <w:shd w:val="clear" w:color="auto" w:fill="auto"/>
            <w:noWrap/>
            <w:vAlign w:val="center"/>
            <w:hideMark/>
          </w:tcPr>
          <w:p w14:paraId="446AC0A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Child Tax Credit Amendments</w:t>
            </w:r>
          </w:p>
        </w:tc>
        <w:tc>
          <w:tcPr>
            <w:tcW w:w="1195" w:type="dxa"/>
            <w:shd w:val="clear" w:color="auto" w:fill="auto"/>
            <w:noWrap/>
            <w:vAlign w:val="bottom"/>
            <w:hideMark/>
          </w:tcPr>
          <w:p w14:paraId="4E6C9F3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STRONMA</w:t>
            </w:r>
          </w:p>
        </w:tc>
        <w:tc>
          <w:tcPr>
            <w:tcW w:w="9235" w:type="dxa"/>
            <w:shd w:val="clear" w:color="auto" w:fill="auto"/>
            <w:noWrap/>
            <w:vAlign w:val="bottom"/>
            <w:hideMark/>
          </w:tcPr>
          <w:p w14:paraId="3824690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Allows a taxpayer to claim the nonrefundable child tax credit for child dependents under one year old and up to five years old. </w:t>
            </w:r>
          </w:p>
        </w:tc>
      </w:tr>
      <w:tr w:rsidR="00810242" w:rsidRPr="009F145E" w14:paraId="5030DC22" w14:textId="77777777" w:rsidTr="00F51B0F">
        <w:trPr>
          <w:trHeight w:val="290"/>
          <w:jc w:val="center"/>
        </w:trPr>
        <w:tc>
          <w:tcPr>
            <w:tcW w:w="1173" w:type="dxa"/>
            <w:shd w:val="clear" w:color="auto" w:fill="auto"/>
            <w:noWrap/>
            <w:vAlign w:val="center"/>
            <w:hideMark/>
          </w:tcPr>
          <w:p w14:paraId="293115D7" w14:textId="42D7DB93"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0" w:history="1">
              <w:r w:rsidRPr="009F145E">
                <w:rPr>
                  <w:rStyle w:val="Hyperlink"/>
                  <w:rFonts w:ascii="Aptos Narrow" w:eastAsia="Times New Roman" w:hAnsi="Aptos Narrow" w:cs="Times New Roman"/>
                  <w:kern w:val="0"/>
                  <w:sz w:val="22"/>
                  <w:szCs w:val="22"/>
                  <w14:ligatures w14:val="none"/>
                </w:rPr>
                <w:t>HB0327</w:t>
              </w:r>
            </w:hyperlink>
          </w:p>
        </w:tc>
        <w:tc>
          <w:tcPr>
            <w:tcW w:w="3075" w:type="dxa"/>
            <w:shd w:val="clear" w:color="auto" w:fill="auto"/>
            <w:noWrap/>
            <w:vAlign w:val="center"/>
            <w:hideMark/>
          </w:tcPr>
          <w:p w14:paraId="5B1FADB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Modifications</w:t>
            </w:r>
          </w:p>
        </w:tc>
        <w:tc>
          <w:tcPr>
            <w:tcW w:w="1195" w:type="dxa"/>
            <w:shd w:val="clear" w:color="auto" w:fill="auto"/>
            <w:noWrap/>
            <w:vAlign w:val="bottom"/>
            <w:hideMark/>
          </w:tcPr>
          <w:p w14:paraId="695788A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TEUSCJ</w:t>
            </w:r>
          </w:p>
        </w:tc>
        <w:tc>
          <w:tcPr>
            <w:tcW w:w="9235" w:type="dxa"/>
            <w:shd w:val="clear" w:color="auto" w:fill="auto"/>
            <w:noWrap/>
            <w:vAlign w:val="bottom"/>
            <w:hideMark/>
          </w:tcPr>
          <w:p w14:paraId="5E21C2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an association to notify an owner in writing of a denied unit or lot plan; places limitations on an association's ability to impose certain rules; and makes technical and conforming changes.</w:t>
            </w:r>
          </w:p>
        </w:tc>
      </w:tr>
      <w:tr w:rsidR="00F51B0F" w:rsidRPr="009F145E" w14:paraId="56B1A8EC" w14:textId="77777777" w:rsidTr="00285E11">
        <w:trPr>
          <w:trHeight w:val="290"/>
          <w:jc w:val="center"/>
        </w:trPr>
        <w:tc>
          <w:tcPr>
            <w:tcW w:w="1173" w:type="dxa"/>
            <w:shd w:val="clear" w:color="auto" w:fill="F8D8D8"/>
            <w:noWrap/>
            <w:vAlign w:val="center"/>
            <w:hideMark/>
          </w:tcPr>
          <w:p w14:paraId="7D79E06F" w14:textId="63E2A7E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1" w:history="1">
              <w:r w:rsidRPr="009F145E">
                <w:rPr>
                  <w:rStyle w:val="Hyperlink"/>
                  <w:rFonts w:ascii="Aptos Narrow" w:eastAsia="Times New Roman" w:hAnsi="Aptos Narrow" w:cs="Times New Roman"/>
                  <w:kern w:val="0"/>
                  <w:sz w:val="22"/>
                  <w:szCs w:val="22"/>
                  <w14:ligatures w14:val="none"/>
                </w:rPr>
                <w:t>HCR006</w:t>
              </w:r>
            </w:hyperlink>
          </w:p>
        </w:tc>
        <w:tc>
          <w:tcPr>
            <w:tcW w:w="3075" w:type="dxa"/>
            <w:shd w:val="clear" w:color="auto" w:fill="F8D8D8"/>
            <w:noWrap/>
            <w:vAlign w:val="center"/>
            <w:hideMark/>
          </w:tcPr>
          <w:p w14:paraId="47A40B9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Concurrent Resolution Urging Changes to Federal Homelessness Regulations</w:t>
            </w:r>
          </w:p>
        </w:tc>
        <w:tc>
          <w:tcPr>
            <w:tcW w:w="1195" w:type="dxa"/>
            <w:shd w:val="clear" w:color="auto" w:fill="F8D8D8"/>
            <w:noWrap/>
            <w:vAlign w:val="center"/>
            <w:hideMark/>
          </w:tcPr>
          <w:p w14:paraId="7B5D971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F8D8D8"/>
            <w:noWrap/>
            <w:vAlign w:val="bottom"/>
            <w:hideMark/>
          </w:tcPr>
          <w:p w14:paraId="507940A4" w14:textId="2036026F"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resolution: Urges the Department of Housing and Urban Development to implement reforms to certain federal housing assistant programs; recognizes that:</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state and local governments seek to fund and implement programs that are more effective than the current alternatives to reduce the number of people living on the street and include approaches and strategies that are more responsive to local priorities and circumstances; the Homeless Management Information System is costly, burdensome, and fails to meet the information and data needs of state and local governments; and block grant funding provides the state with needed discretion on how to use federal funding for direct services to the state's homeless population; calls on the federal government to reform certain agency rules and federal laws to provide state and local governments greater latitude in administering homelessness; and provides for copies of the resolution to be distributed among certain federal agencies and other individuals.</w:t>
            </w:r>
          </w:p>
        </w:tc>
      </w:tr>
      <w:tr w:rsidR="00810242" w:rsidRPr="009F145E" w14:paraId="1B3CD092" w14:textId="77777777" w:rsidTr="00285E11">
        <w:trPr>
          <w:trHeight w:val="290"/>
          <w:jc w:val="center"/>
        </w:trPr>
        <w:tc>
          <w:tcPr>
            <w:tcW w:w="1173" w:type="dxa"/>
            <w:shd w:val="clear" w:color="auto" w:fill="auto"/>
            <w:noWrap/>
            <w:vAlign w:val="center"/>
            <w:hideMark/>
          </w:tcPr>
          <w:p w14:paraId="78AA3B4D" w14:textId="19CA332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2" w:history="1">
              <w:r w:rsidRPr="009F145E">
                <w:rPr>
                  <w:rStyle w:val="Hyperlink"/>
                  <w:rFonts w:ascii="Aptos Narrow" w:eastAsia="Times New Roman" w:hAnsi="Aptos Narrow" w:cs="Times New Roman"/>
                  <w:kern w:val="0"/>
                  <w:sz w:val="22"/>
                  <w:szCs w:val="22"/>
                  <w14:ligatures w14:val="none"/>
                </w:rPr>
                <w:t>HB0320</w:t>
              </w:r>
            </w:hyperlink>
          </w:p>
        </w:tc>
        <w:tc>
          <w:tcPr>
            <w:tcW w:w="3075" w:type="dxa"/>
            <w:shd w:val="clear" w:color="auto" w:fill="auto"/>
            <w:noWrap/>
            <w:vAlign w:val="center"/>
            <w:hideMark/>
          </w:tcPr>
          <w:p w14:paraId="35B1E37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Municipal Ordinance Amendments</w:t>
            </w:r>
          </w:p>
        </w:tc>
        <w:tc>
          <w:tcPr>
            <w:tcW w:w="1195" w:type="dxa"/>
            <w:shd w:val="clear" w:color="auto" w:fill="auto"/>
            <w:noWrap/>
            <w:vAlign w:val="center"/>
            <w:hideMark/>
          </w:tcPr>
          <w:p w14:paraId="046F6A9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THURSNK</w:t>
            </w:r>
          </w:p>
        </w:tc>
        <w:tc>
          <w:tcPr>
            <w:tcW w:w="9235" w:type="dxa"/>
            <w:shd w:val="clear" w:color="auto" w:fill="auto"/>
            <w:noWrap/>
            <w:vAlign w:val="bottom"/>
            <w:hideMark/>
          </w:tcPr>
          <w:p w14:paraId="415955C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Allows a municipality to impose a civil fine that exceeds the maximum Class B misdemeanor fine under Section 76-3-301 if the municipality has previously imposed a fine on the individual for the same violation three or more times within the past 12 months.</w:t>
            </w:r>
          </w:p>
        </w:tc>
      </w:tr>
      <w:tr w:rsidR="00810242" w:rsidRPr="009F145E" w14:paraId="22AECD48" w14:textId="77777777" w:rsidTr="00F51B0F">
        <w:trPr>
          <w:trHeight w:val="290"/>
          <w:jc w:val="center"/>
        </w:trPr>
        <w:tc>
          <w:tcPr>
            <w:tcW w:w="1173" w:type="dxa"/>
            <w:shd w:val="clear" w:color="auto" w:fill="F8D8D8"/>
            <w:noWrap/>
            <w:vAlign w:val="center"/>
            <w:hideMark/>
          </w:tcPr>
          <w:p w14:paraId="071A2EA2" w14:textId="1361EC6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3" w:history="1">
              <w:r w:rsidRPr="009F145E">
                <w:rPr>
                  <w:rStyle w:val="Hyperlink"/>
                  <w:rFonts w:ascii="Aptos Narrow" w:eastAsia="Times New Roman" w:hAnsi="Aptos Narrow" w:cs="Times New Roman"/>
                  <w:kern w:val="0"/>
                  <w:sz w:val="22"/>
                  <w:szCs w:val="22"/>
                  <w14:ligatures w14:val="none"/>
                </w:rPr>
                <w:t>HB0329</w:t>
              </w:r>
            </w:hyperlink>
          </w:p>
        </w:tc>
        <w:tc>
          <w:tcPr>
            <w:tcW w:w="3075" w:type="dxa"/>
            <w:shd w:val="clear" w:color="auto" w:fill="F8D8D8"/>
            <w:noWrap/>
            <w:vAlign w:val="center"/>
            <w:hideMark/>
          </w:tcPr>
          <w:p w14:paraId="127BBC2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 Services Amendments</w:t>
            </w:r>
          </w:p>
        </w:tc>
        <w:tc>
          <w:tcPr>
            <w:tcW w:w="1195" w:type="dxa"/>
            <w:shd w:val="clear" w:color="auto" w:fill="F8D8D8"/>
            <w:noWrap/>
            <w:vAlign w:val="center"/>
            <w:hideMark/>
          </w:tcPr>
          <w:p w14:paraId="2FEE83C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235" w:type="dxa"/>
            <w:shd w:val="clear" w:color="auto" w:fill="F8D8D8"/>
            <w:noWrap/>
            <w:vAlign w:val="center"/>
            <w:hideMark/>
          </w:tcPr>
          <w:p w14:paraId="6C415D8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the Office of Licensing (office) within the Department of Health and Human Services to make rules that require a licensee to prioritize public safety of the area and community surrounding the licensee's physical facility; requires the Utah Homeless Services Board (board) to collect and report on certain data; requires that an eligible municipality adopt an ordinance prohibiting unsanctioned camping in a substantially similar form to state code; modifies the process by which the board approves funding requests from the Homeless Shelter Cities Mitigation Restricted Account; states that certain drug offenses are subject to enhanced penalties when committed in a state licensed homeless shelter; repeals and amends certain provisions of the winter response task force; enacts provisions requiring service providers to design certain services to assist homeless individuals in progressing and transitioning from struggling with homelessness to personal thriving; enacts provisions requiring certain safety requirements for homeless shelters, including winter response shelters; and&lt; makes technical and conforming changes.</w:t>
            </w:r>
          </w:p>
        </w:tc>
      </w:tr>
      <w:tr w:rsidR="00375BFE" w:rsidRPr="009F145E" w14:paraId="1B8B5E60" w14:textId="77777777" w:rsidTr="00F51B0F">
        <w:trPr>
          <w:trHeight w:val="290"/>
          <w:jc w:val="center"/>
        </w:trPr>
        <w:tc>
          <w:tcPr>
            <w:tcW w:w="1173" w:type="dxa"/>
            <w:shd w:val="clear" w:color="auto" w:fill="auto"/>
            <w:noWrap/>
            <w:vAlign w:val="center"/>
          </w:tcPr>
          <w:p w14:paraId="243B2A00" w14:textId="7091EAFB" w:rsidR="00375BFE" w:rsidRDefault="003A397D" w:rsidP="00375BFE">
            <w:pPr>
              <w:rPr>
                <w:rFonts w:ascii="Aptos Narrow" w:hAnsi="Aptos Narrow"/>
                <w:color w:val="000000"/>
                <w:sz w:val="22"/>
                <w:szCs w:val="22"/>
              </w:rPr>
            </w:pPr>
            <w:hyperlink r:id="rId44" w:history="1">
              <w:r w:rsidR="00375BFE" w:rsidRPr="003A397D">
                <w:rPr>
                  <w:rStyle w:val="Hyperlink"/>
                  <w:rFonts w:ascii="Aptos Narrow" w:hAnsi="Aptos Narrow"/>
                  <w:sz w:val="22"/>
                  <w:szCs w:val="22"/>
                </w:rPr>
                <w:t>HB0327</w:t>
              </w:r>
            </w:hyperlink>
          </w:p>
          <w:p w14:paraId="491E8B11" w14:textId="77777777" w:rsidR="00375BFE" w:rsidRPr="00A37EA4" w:rsidRDefault="00375BFE" w:rsidP="009F145E">
            <w:pPr>
              <w:spacing w:after="0" w:line="240" w:lineRule="auto"/>
              <w:rPr>
                <w:rFonts w:ascii="Aptos Narrow" w:eastAsia="Times New Roman" w:hAnsi="Aptos Narrow" w:cs="Times New Roman"/>
                <w:color w:val="000000"/>
                <w:kern w:val="0"/>
                <w:sz w:val="22"/>
                <w:szCs w:val="22"/>
                <w14:ligatures w14:val="none"/>
              </w:rPr>
            </w:pPr>
          </w:p>
        </w:tc>
        <w:tc>
          <w:tcPr>
            <w:tcW w:w="3075" w:type="dxa"/>
            <w:shd w:val="clear" w:color="auto" w:fill="auto"/>
            <w:noWrap/>
            <w:vAlign w:val="center"/>
          </w:tcPr>
          <w:p w14:paraId="1C51A286"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Homeowners Association Modifications</w:t>
            </w:r>
          </w:p>
          <w:p w14:paraId="33C9DCC6" w14:textId="77777777" w:rsidR="00375BFE" w:rsidRPr="009F145E" w:rsidRDefault="00375BFE" w:rsidP="009F145E">
            <w:pPr>
              <w:spacing w:after="0" w:line="240" w:lineRule="auto"/>
              <w:rPr>
                <w:rFonts w:ascii="Aptos Narrow" w:eastAsia="Times New Roman" w:hAnsi="Aptos Narrow" w:cs="Times New Roman"/>
                <w:color w:val="000000"/>
                <w:kern w:val="0"/>
                <w:sz w:val="22"/>
                <w:szCs w:val="22"/>
                <w14:ligatures w14:val="none"/>
              </w:rPr>
            </w:pPr>
          </w:p>
        </w:tc>
        <w:tc>
          <w:tcPr>
            <w:tcW w:w="1195" w:type="dxa"/>
            <w:shd w:val="clear" w:color="auto" w:fill="auto"/>
            <w:noWrap/>
            <w:vAlign w:val="bottom"/>
          </w:tcPr>
          <w:p w14:paraId="6A591802" w14:textId="77777777" w:rsidR="00FE0552" w:rsidRDefault="00FE0552" w:rsidP="00FE0552">
            <w:pPr>
              <w:rPr>
                <w:rFonts w:ascii="Aptos Narrow" w:hAnsi="Aptos Narrow"/>
                <w:color w:val="000000"/>
                <w:sz w:val="22"/>
                <w:szCs w:val="22"/>
              </w:rPr>
            </w:pPr>
            <w:r>
              <w:rPr>
                <w:rFonts w:ascii="Aptos Narrow" w:hAnsi="Aptos Narrow"/>
                <w:color w:val="000000"/>
                <w:sz w:val="22"/>
                <w:szCs w:val="22"/>
              </w:rPr>
              <w:t>TEUSCJ</w:t>
            </w:r>
          </w:p>
          <w:p w14:paraId="62276A59" w14:textId="77777777" w:rsidR="00375BFE" w:rsidRPr="009F145E" w:rsidRDefault="00375BFE"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2496587F" w14:textId="6CC0F760" w:rsidR="00FE0552" w:rsidRDefault="00FE0552" w:rsidP="00FE0552">
            <w:pPr>
              <w:rPr>
                <w:rFonts w:ascii="Aptos Narrow" w:hAnsi="Aptos Narrow"/>
                <w:color w:val="000000"/>
                <w:sz w:val="22"/>
                <w:szCs w:val="22"/>
              </w:rPr>
            </w:pPr>
            <w:r>
              <w:rPr>
                <w:rFonts w:ascii="Aptos Narrow" w:hAnsi="Aptos Narrow"/>
                <w:color w:val="000000"/>
                <w:sz w:val="22"/>
                <w:szCs w:val="22"/>
              </w:rPr>
              <w:t>This bill:</w:t>
            </w:r>
            <w:r>
              <w:rPr>
                <w:rFonts w:ascii="Aptos Narrow" w:hAnsi="Aptos Narrow"/>
                <w:color w:val="000000"/>
                <w:sz w:val="22"/>
                <w:szCs w:val="22"/>
              </w:rPr>
              <w:t xml:space="preserve"> </w:t>
            </w:r>
            <w:r>
              <w:rPr>
                <w:rFonts w:ascii="Aptos Narrow" w:hAnsi="Aptos Narrow"/>
                <w:color w:val="000000"/>
                <w:sz w:val="22"/>
                <w:szCs w:val="22"/>
              </w:rPr>
              <w:t>requires an association to notify an owner in writing of a denied unit or lot plan; places limitations on an association's ability to impose certain rules; and makes technical and conforming changes.</w:t>
            </w:r>
          </w:p>
          <w:p w14:paraId="1D27D10B" w14:textId="77777777" w:rsidR="00375BFE" w:rsidRPr="009F145E" w:rsidRDefault="00375BFE" w:rsidP="009F145E">
            <w:pPr>
              <w:spacing w:after="0" w:line="240" w:lineRule="auto"/>
              <w:rPr>
                <w:rFonts w:ascii="Aptos Narrow" w:eastAsia="Times New Roman" w:hAnsi="Aptos Narrow" w:cs="Times New Roman"/>
                <w:color w:val="000000"/>
                <w:kern w:val="0"/>
                <w:sz w:val="22"/>
                <w:szCs w:val="22"/>
                <w14:ligatures w14:val="none"/>
              </w:rPr>
            </w:pPr>
          </w:p>
        </w:tc>
      </w:tr>
      <w:tr w:rsidR="00F51B0F" w:rsidRPr="009F145E" w14:paraId="1DD76908" w14:textId="77777777" w:rsidTr="00F51B0F">
        <w:trPr>
          <w:trHeight w:val="290"/>
          <w:jc w:val="center"/>
        </w:trPr>
        <w:tc>
          <w:tcPr>
            <w:tcW w:w="1173" w:type="dxa"/>
            <w:shd w:val="clear" w:color="auto" w:fill="C1F0C7" w:themeFill="accent3" w:themeFillTint="33"/>
            <w:noWrap/>
            <w:vAlign w:val="center"/>
          </w:tcPr>
          <w:p w14:paraId="5715694F" w14:textId="4699BE1D" w:rsidR="00A37EA4" w:rsidRDefault="003A397D" w:rsidP="00FE0552">
            <w:pPr>
              <w:spacing w:after="0" w:line="720" w:lineRule="auto"/>
            </w:pPr>
            <w:hyperlink r:id="rId45" w:history="1">
              <w:r w:rsidR="00A37EA4" w:rsidRPr="00A37EA4">
                <w:rPr>
                  <w:rStyle w:val="Hyperlink"/>
                  <w:rFonts w:ascii="Aptos Narrow" w:eastAsia="Times New Roman" w:hAnsi="Aptos Narrow" w:cs="Times New Roman"/>
                  <w:kern w:val="0"/>
                  <w:sz w:val="22"/>
                  <w:szCs w:val="22"/>
                  <w14:ligatures w14:val="none"/>
                </w:rPr>
                <w:t>HB0337</w:t>
              </w:r>
            </w:hyperlink>
          </w:p>
        </w:tc>
        <w:tc>
          <w:tcPr>
            <w:tcW w:w="3075" w:type="dxa"/>
            <w:shd w:val="clear" w:color="auto" w:fill="C1F0C7" w:themeFill="accent3" w:themeFillTint="33"/>
            <w:noWrap/>
            <w:vAlign w:val="center"/>
          </w:tcPr>
          <w:p w14:paraId="6B75E20D" w14:textId="43BC9EF2" w:rsidR="00A37EA4" w:rsidRPr="00375BFE" w:rsidRDefault="00FE0552" w:rsidP="00FE0552">
            <w:pPr>
              <w:spacing w:line="720" w:lineRule="auto"/>
              <w:rPr>
                <w:rFonts w:ascii="Aptos Narrow" w:hAnsi="Aptos Narrow"/>
                <w:color w:val="000000"/>
                <w:sz w:val="22"/>
                <w:szCs w:val="22"/>
              </w:rPr>
            </w:pPr>
            <w:r>
              <w:rPr>
                <w:rFonts w:ascii="Aptos Narrow" w:hAnsi="Aptos Narrow"/>
                <w:color w:val="000000"/>
                <w:sz w:val="22"/>
                <w:szCs w:val="22"/>
              </w:rPr>
              <w:t>Property Manager Requirements</w:t>
            </w:r>
          </w:p>
        </w:tc>
        <w:tc>
          <w:tcPr>
            <w:tcW w:w="1195" w:type="dxa"/>
            <w:shd w:val="clear" w:color="auto" w:fill="C1F0C7" w:themeFill="accent3" w:themeFillTint="33"/>
            <w:noWrap/>
            <w:vAlign w:val="center"/>
          </w:tcPr>
          <w:p w14:paraId="22C5F839" w14:textId="77777777" w:rsidR="00FE0552" w:rsidRDefault="00FE0552" w:rsidP="00FE0552">
            <w:pPr>
              <w:rPr>
                <w:rFonts w:ascii="Aptos Narrow" w:hAnsi="Aptos Narrow"/>
                <w:color w:val="000000"/>
                <w:sz w:val="22"/>
                <w:szCs w:val="22"/>
              </w:rPr>
            </w:pPr>
            <w:r>
              <w:rPr>
                <w:rFonts w:ascii="Aptos Narrow" w:hAnsi="Aptos Narrow"/>
                <w:color w:val="000000"/>
                <w:sz w:val="22"/>
                <w:szCs w:val="22"/>
              </w:rPr>
              <w:t>TEUSCJ</w:t>
            </w:r>
          </w:p>
          <w:p w14:paraId="246DEB36"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C1F0C7" w:themeFill="accent3" w:themeFillTint="33"/>
            <w:noWrap/>
            <w:vAlign w:val="bottom"/>
          </w:tcPr>
          <w:p w14:paraId="3F27E870" w14:textId="3DEB2D85" w:rsidR="00FE0552" w:rsidRDefault="00FE0552" w:rsidP="00FE0552">
            <w:pPr>
              <w:rPr>
                <w:rFonts w:ascii="Aptos Narrow" w:hAnsi="Aptos Narrow"/>
                <w:color w:val="000000"/>
                <w:sz w:val="22"/>
                <w:szCs w:val="22"/>
              </w:rPr>
            </w:pPr>
            <w:r>
              <w:rPr>
                <w:rFonts w:ascii="Aptos Narrow" w:hAnsi="Aptos Narrow"/>
                <w:color w:val="000000"/>
                <w:sz w:val="22"/>
                <w:szCs w:val="22"/>
              </w:rPr>
              <w:t>This bill: defines terms; grants the Real Estate Commission (commission) authority to make administrative rules relating to property managers; requires an individual to hold a license as a property manager before engaging in property management; exempts certain individuals from licensure under this act; requires that the commission and Division of Real Estate determine the qualifications and requirements for an applicant for a property manager license; allows an individual with an active broker, associate broker, or sales agent license to obtain a property manager license without meeting certain examination and education requirements;</w:t>
            </w:r>
            <w:r>
              <w:rPr>
                <w:rFonts w:ascii="Aptos Narrow" w:hAnsi="Aptos Narrow"/>
                <w:color w:val="000000"/>
                <w:sz w:val="22"/>
                <w:szCs w:val="22"/>
              </w:rPr>
              <w:t xml:space="preserve"> </w:t>
            </w:r>
            <w:r>
              <w:rPr>
                <w:rFonts w:ascii="Aptos Narrow" w:hAnsi="Aptos Narrow"/>
                <w:color w:val="000000"/>
                <w:sz w:val="22"/>
                <w:szCs w:val="22"/>
              </w:rPr>
              <w:t>requires that an applicant for a property manager license pay a licensing fee; exempts a licensed property manager from affiliating with a principal broker;</w:t>
            </w:r>
            <w:r>
              <w:rPr>
                <w:rFonts w:ascii="Aptos Narrow" w:hAnsi="Aptos Narrow"/>
                <w:color w:val="000000"/>
                <w:sz w:val="22"/>
                <w:szCs w:val="22"/>
              </w:rPr>
              <w:t xml:space="preserve"> </w:t>
            </w:r>
            <w:r>
              <w:rPr>
                <w:rFonts w:ascii="Aptos Narrow" w:hAnsi="Aptos Narrow"/>
                <w:color w:val="000000"/>
                <w:sz w:val="22"/>
                <w:szCs w:val="22"/>
              </w:rPr>
              <w:t>repeals provisions authorizing certain  individuals to act as a property manager; prohibits the Division of Real Estate from requiring that an individual licensed as a property manager be affiliated with a principal broker; authorizes a property manager to fill out any form or document related to property management;</w:t>
            </w:r>
            <w:r>
              <w:rPr>
                <w:rFonts w:ascii="Aptos Narrow" w:hAnsi="Aptos Narrow"/>
                <w:color w:val="000000"/>
                <w:sz w:val="22"/>
                <w:szCs w:val="22"/>
              </w:rPr>
              <w:t xml:space="preserve">  </w:t>
            </w:r>
            <w:r>
              <w:rPr>
                <w:rFonts w:ascii="Aptos Narrow" w:hAnsi="Aptos Narrow"/>
                <w:color w:val="000000"/>
                <w:sz w:val="22"/>
                <w:szCs w:val="22"/>
              </w:rPr>
              <w:t>provides parameters for what a property manager may do when engaging in property management; requires that a property manager associate with a real estate trust account;</w:t>
            </w:r>
            <w:r>
              <w:rPr>
                <w:rFonts w:ascii="Aptos Narrow" w:hAnsi="Aptos Narrow"/>
                <w:color w:val="000000"/>
                <w:sz w:val="22"/>
                <w:szCs w:val="22"/>
              </w:rPr>
              <w:t xml:space="preserve">  </w:t>
            </w:r>
            <w:r>
              <w:rPr>
                <w:rFonts w:ascii="Aptos Narrow" w:hAnsi="Aptos Narrow"/>
                <w:color w:val="000000"/>
                <w:sz w:val="22"/>
                <w:szCs w:val="22"/>
              </w:rPr>
              <w:t>exempts a property manager with a security bond that protects at least 30% of estimated client funds from the requirement to associate with a real estate trust account; provides limitations on the penalties the commission may impose on a property manager; authorizes the commission to issue other non-financial penalties to a property manager and rules relating to a property manager's ownership interests; and&lt; makes technical and conforming changes.</w:t>
            </w:r>
          </w:p>
          <w:p w14:paraId="27E52C0B"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A37EA4" w:rsidRPr="009F145E" w14:paraId="5836E14C" w14:textId="77777777" w:rsidTr="00F51B0F">
        <w:trPr>
          <w:trHeight w:val="290"/>
          <w:jc w:val="center"/>
        </w:trPr>
        <w:tc>
          <w:tcPr>
            <w:tcW w:w="1173" w:type="dxa"/>
            <w:shd w:val="clear" w:color="auto" w:fill="auto"/>
            <w:noWrap/>
            <w:vAlign w:val="center"/>
          </w:tcPr>
          <w:p w14:paraId="1E87FC64" w14:textId="6FFFD4D9" w:rsidR="00A37EA4" w:rsidRDefault="003A397D" w:rsidP="009F145E">
            <w:pPr>
              <w:spacing w:after="0" w:line="240" w:lineRule="auto"/>
            </w:pPr>
            <w:hyperlink r:id="rId46" w:history="1">
              <w:r w:rsidR="00A37EA4" w:rsidRPr="00A37EA4">
                <w:rPr>
                  <w:rStyle w:val="Hyperlink"/>
                  <w:rFonts w:ascii="Aptos Narrow" w:eastAsia="Times New Roman" w:hAnsi="Aptos Narrow" w:cs="Times New Roman"/>
                  <w:kern w:val="0"/>
                  <w:sz w:val="22"/>
                  <w:szCs w:val="22"/>
                  <w14:ligatures w14:val="none"/>
                </w:rPr>
                <w:t>HB0340</w:t>
              </w:r>
            </w:hyperlink>
          </w:p>
        </w:tc>
        <w:tc>
          <w:tcPr>
            <w:tcW w:w="3075" w:type="dxa"/>
            <w:shd w:val="clear" w:color="auto" w:fill="auto"/>
            <w:noWrap/>
            <w:vAlign w:val="center"/>
          </w:tcPr>
          <w:p w14:paraId="61EA39C7" w14:textId="4FEA739F" w:rsidR="00A37EA4" w:rsidRPr="00375BFE" w:rsidRDefault="00375BFE" w:rsidP="00375BFE">
            <w:pPr>
              <w:rPr>
                <w:rFonts w:ascii="Aptos Narrow" w:hAnsi="Aptos Narrow"/>
                <w:color w:val="000000"/>
                <w:sz w:val="22"/>
                <w:szCs w:val="22"/>
              </w:rPr>
            </w:pPr>
            <w:r>
              <w:rPr>
                <w:rFonts w:ascii="Aptos Narrow" w:hAnsi="Aptos Narrow"/>
                <w:color w:val="000000"/>
                <w:sz w:val="22"/>
                <w:szCs w:val="22"/>
              </w:rPr>
              <w:t>Solar Power Amendments</w:t>
            </w:r>
          </w:p>
        </w:tc>
        <w:tc>
          <w:tcPr>
            <w:tcW w:w="1195" w:type="dxa"/>
            <w:shd w:val="clear" w:color="auto" w:fill="auto"/>
            <w:noWrap/>
            <w:vAlign w:val="bottom"/>
          </w:tcPr>
          <w:p w14:paraId="427490CD"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WARDR</w:t>
            </w:r>
          </w:p>
          <w:p w14:paraId="71B782FF"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4C2937DC"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This bill: defines terms; creates exemptions from interconnection requirements for portable solar generation devices; establishes basic safety requirements for portable solar generation devices; and provides liability protections for electrical corporations.</w:t>
            </w:r>
          </w:p>
          <w:p w14:paraId="28296C92"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A37EA4" w:rsidRPr="009F145E" w14:paraId="69AF6F9E" w14:textId="77777777" w:rsidTr="00F51B0F">
        <w:trPr>
          <w:trHeight w:val="290"/>
          <w:jc w:val="center"/>
        </w:trPr>
        <w:tc>
          <w:tcPr>
            <w:tcW w:w="1173" w:type="dxa"/>
            <w:shd w:val="clear" w:color="auto" w:fill="auto"/>
            <w:noWrap/>
            <w:vAlign w:val="center"/>
          </w:tcPr>
          <w:p w14:paraId="606E7A40" w14:textId="5B4BF1E3" w:rsidR="00A37EA4" w:rsidRDefault="003A397D" w:rsidP="009F145E">
            <w:pPr>
              <w:spacing w:after="0" w:line="240" w:lineRule="auto"/>
            </w:pPr>
            <w:hyperlink r:id="rId47" w:history="1">
              <w:r w:rsidR="00A37EA4" w:rsidRPr="00A37EA4">
                <w:rPr>
                  <w:rStyle w:val="Hyperlink"/>
                  <w:rFonts w:ascii="Aptos Narrow" w:eastAsia="Times New Roman" w:hAnsi="Aptos Narrow" w:cs="Times New Roman"/>
                  <w:kern w:val="0"/>
                  <w:sz w:val="22"/>
                  <w:szCs w:val="22"/>
                  <w14:ligatures w14:val="none"/>
                </w:rPr>
                <w:t>HB0360</w:t>
              </w:r>
            </w:hyperlink>
          </w:p>
        </w:tc>
        <w:tc>
          <w:tcPr>
            <w:tcW w:w="3075" w:type="dxa"/>
            <w:shd w:val="clear" w:color="auto" w:fill="auto"/>
            <w:noWrap/>
            <w:vAlign w:val="center"/>
          </w:tcPr>
          <w:p w14:paraId="0954C7BD" w14:textId="5ACE1756" w:rsidR="00A37EA4" w:rsidRPr="00375BFE" w:rsidRDefault="00375BFE" w:rsidP="00375BFE">
            <w:pPr>
              <w:rPr>
                <w:rFonts w:ascii="Aptos Narrow" w:hAnsi="Aptos Narrow"/>
                <w:color w:val="000000"/>
                <w:sz w:val="22"/>
                <w:szCs w:val="22"/>
              </w:rPr>
            </w:pPr>
            <w:r>
              <w:rPr>
                <w:rFonts w:ascii="Aptos Narrow" w:hAnsi="Aptos Narrow"/>
                <w:color w:val="000000"/>
                <w:sz w:val="22"/>
                <w:szCs w:val="22"/>
              </w:rPr>
              <w:t>Housing Attainability Amendments</w:t>
            </w:r>
          </w:p>
        </w:tc>
        <w:tc>
          <w:tcPr>
            <w:tcW w:w="1195" w:type="dxa"/>
            <w:shd w:val="clear" w:color="auto" w:fill="auto"/>
            <w:noWrap/>
            <w:vAlign w:val="bottom"/>
          </w:tcPr>
          <w:p w14:paraId="775791D7"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WHYTESL</w:t>
            </w:r>
          </w:p>
          <w:p w14:paraId="147F5303"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72B64EC6"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 xml:space="preserve">This bill: defines terms; provides that a closed meeting may be held under certain circumstances by a political subdivision; </w:t>
            </w:r>
            <w:proofErr w:type="gramStart"/>
            <w:r>
              <w:rPr>
                <w:rFonts w:ascii="Aptos Narrow" w:hAnsi="Aptos Narrow"/>
                <w:color w:val="000000"/>
                <w:sz w:val="22"/>
                <w:szCs w:val="22"/>
              </w:rPr>
              <w:t>repeals</w:t>
            </w:r>
            <w:proofErr w:type="gramEnd"/>
            <w:r>
              <w:rPr>
                <w:rFonts w:ascii="Aptos Narrow" w:hAnsi="Aptos Narrow"/>
                <w:color w:val="000000"/>
                <w:sz w:val="22"/>
                <w:szCs w:val="22"/>
              </w:rPr>
              <w:t xml:space="preserve"> the sunset date for the Utah Housing Corporation; and makes technical and conforming changes.</w:t>
            </w:r>
          </w:p>
          <w:p w14:paraId="73A05A27"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A37EA4" w:rsidRPr="009F145E" w14:paraId="1287F2F1" w14:textId="77777777" w:rsidTr="008F3AA8">
        <w:trPr>
          <w:trHeight w:val="290"/>
          <w:jc w:val="center"/>
        </w:trPr>
        <w:tc>
          <w:tcPr>
            <w:tcW w:w="1173" w:type="dxa"/>
            <w:shd w:val="clear" w:color="auto" w:fill="auto"/>
            <w:noWrap/>
            <w:vAlign w:val="center"/>
          </w:tcPr>
          <w:p w14:paraId="60B53417" w14:textId="3EC32CD8" w:rsidR="00A37EA4" w:rsidRDefault="003A397D" w:rsidP="00FE0552">
            <w:pPr>
              <w:spacing w:after="0" w:line="720" w:lineRule="auto"/>
            </w:pPr>
            <w:hyperlink r:id="rId48" w:history="1">
              <w:r w:rsidR="00375BFE" w:rsidRPr="00A37EA4">
                <w:rPr>
                  <w:rStyle w:val="Hyperlink"/>
                  <w:rFonts w:ascii="Aptos Narrow" w:eastAsia="Times New Roman" w:hAnsi="Aptos Narrow" w:cs="Times New Roman"/>
                  <w:kern w:val="0"/>
                  <w:sz w:val="22"/>
                  <w:szCs w:val="22"/>
                  <w14:ligatures w14:val="none"/>
                </w:rPr>
                <w:t>HB0362</w:t>
              </w:r>
            </w:hyperlink>
          </w:p>
        </w:tc>
        <w:tc>
          <w:tcPr>
            <w:tcW w:w="3075" w:type="dxa"/>
            <w:shd w:val="clear" w:color="auto" w:fill="auto"/>
            <w:noWrap/>
            <w:vAlign w:val="center"/>
          </w:tcPr>
          <w:p w14:paraId="229C4A32" w14:textId="5D22582E" w:rsidR="00A37EA4" w:rsidRPr="00375BFE" w:rsidRDefault="00375BFE" w:rsidP="00FE0552">
            <w:pPr>
              <w:spacing w:before="240" w:line="720" w:lineRule="auto"/>
              <w:rPr>
                <w:rFonts w:ascii="Aptos Narrow" w:hAnsi="Aptos Narrow"/>
                <w:color w:val="000000"/>
                <w:sz w:val="22"/>
                <w:szCs w:val="22"/>
              </w:rPr>
            </w:pPr>
            <w:r>
              <w:rPr>
                <w:rFonts w:ascii="Aptos Narrow" w:hAnsi="Aptos Narrow"/>
                <w:color w:val="000000"/>
                <w:sz w:val="22"/>
                <w:szCs w:val="22"/>
              </w:rPr>
              <w:t>Homeless Rights Amendments</w:t>
            </w:r>
          </w:p>
        </w:tc>
        <w:tc>
          <w:tcPr>
            <w:tcW w:w="1195" w:type="dxa"/>
            <w:shd w:val="clear" w:color="auto" w:fill="auto"/>
            <w:noWrap/>
            <w:vAlign w:val="center"/>
          </w:tcPr>
          <w:p w14:paraId="36918B9C"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MILLGR</w:t>
            </w:r>
          </w:p>
          <w:p w14:paraId="60D732F5"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17D3FECA" w14:textId="77777777" w:rsidR="00375BFE" w:rsidRDefault="00375BFE" w:rsidP="00375BFE">
            <w:pPr>
              <w:rPr>
                <w:rFonts w:ascii="Aptos Narrow" w:hAnsi="Aptos Narrow"/>
                <w:color w:val="000000"/>
                <w:sz w:val="22"/>
                <w:szCs w:val="22"/>
              </w:rPr>
            </w:pPr>
            <w:r>
              <w:rPr>
                <w:rFonts w:ascii="Aptos Narrow" w:hAnsi="Aptos Narrow"/>
                <w:color w:val="000000"/>
                <w:sz w:val="22"/>
                <w:szCs w:val="22"/>
              </w:rPr>
              <w:t>This bill: describes a homeless individual's rights, including the right to: receive equal treatment by the state and a political subdivision of the state in the same manner as any other individual; register to vote and to vote in elections; and the protection of personal information;  provides that a homeless individual has a right of action against a person who violates the homeless individual's rights; and provides a statute of limitations for a homeless individual to bring a right of action against a person who violates the homeless individual's rights.</w:t>
            </w:r>
          </w:p>
          <w:p w14:paraId="3ACAD631"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A37EA4" w:rsidRPr="009F145E" w14:paraId="259ADCAD" w14:textId="77777777" w:rsidTr="00F51B0F">
        <w:trPr>
          <w:trHeight w:val="290"/>
          <w:jc w:val="center"/>
        </w:trPr>
        <w:tc>
          <w:tcPr>
            <w:tcW w:w="1173" w:type="dxa"/>
            <w:shd w:val="clear" w:color="auto" w:fill="auto"/>
            <w:noWrap/>
            <w:vAlign w:val="center"/>
          </w:tcPr>
          <w:p w14:paraId="503CBFB7" w14:textId="77777777" w:rsidR="00A37EA4" w:rsidRDefault="00A37EA4" w:rsidP="00375BFE"/>
        </w:tc>
        <w:tc>
          <w:tcPr>
            <w:tcW w:w="3075" w:type="dxa"/>
            <w:shd w:val="clear" w:color="auto" w:fill="auto"/>
            <w:noWrap/>
            <w:vAlign w:val="center"/>
          </w:tcPr>
          <w:p w14:paraId="4593B60F"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1195" w:type="dxa"/>
            <w:shd w:val="clear" w:color="auto" w:fill="auto"/>
            <w:noWrap/>
            <w:vAlign w:val="bottom"/>
          </w:tcPr>
          <w:p w14:paraId="4EBC2A7A"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tcPr>
          <w:p w14:paraId="23B659AC" w14:textId="77777777" w:rsidR="00A37EA4" w:rsidRPr="009F145E" w:rsidRDefault="00A37EA4" w:rsidP="009F145E">
            <w:pPr>
              <w:spacing w:after="0" w:line="240" w:lineRule="auto"/>
              <w:rPr>
                <w:rFonts w:ascii="Aptos Narrow" w:eastAsia="Times New Roman" w:hAnsi="Aptos Narrow" w:cs="Times New Roman"/>
                <w:color w:val="000000"/>
                <w:kern w:val="0"/>
                <w:sz w:val="22"/>
                <w:szCs w:val="22"/>
                <w14:ligatures w14:val="none"/>
              </w:rPr>
            </w:pPr>
          </w:p>
        </w:tc>
      </w:tr>
      <w:tr w:rsidR="00810242" w:rsidRPr="009F145E" w14:paraId="7A670C0B" w14:textId="77777777" w:rsidTr="00285E11">
        <w:trPr>
          <w:trHeight w:val="290"/>
          <w:jc w:val="center"/>
        </w:trPr>
        <w:tc>
          <w:tcPr>
            <w:tcW w:w="1173" w:type="dxa"/>
            <w:shd w:val="clear" w:color="auto" w:fill="D9F2D0" w:themeFill="accent6" w:themeFillTint="33"/>
            <w:noWrap/>
            <w:vAlign w:val="center"/>
            <w:hideMark/>
          </w:tcPr>
          <w:p w14:paraId="2705FBBB" w14:textId="3BD027CC"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49" w:history="1">
              <w:r w:rsidRPr="009F145E">
                <w:rPr>
                  <w:rStyle w:val="Hyperlink"/>
                  <w:rFonts w:ascii="Aptos Narrow" w:eastAsia="Times New Roman" w:hAnsi="Aptos Narrow" w:cs="Times New Roman"/>
                  <w:kern w:val="0"/>
                  <w:sz w:val="22"/>
                  <w:szCs w:val="22"/>
                  <w14:ligatures w14:val="none"/>
                </w:rPr>
                <w:t>SB0023</w:t>
              </w:r>
            </w:hyperlink>
          </w:p>
        </w:tc>
        <w:tc>
          <w:tcPr>
            <w:tcW w:w="3075" w:type="dxa"/>
            <w:shd w:val="clear" w:color="auto" w:fill="D9F2D0" w:themeFill="accent6" w:themeFillTint="33"/>
            <w:noWrap/>
            <w:vAlign w:val="center"/>
            <w:hideMark/>
          </w:tcPr>
          <w:p w14:paraId="2B96EDB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First Home Investment Zone Amendments</w:t>
            </w:r>
          </w:p>
        </w:tc>
        <w:tc>
          <w:tcPr>
            <w:tcW w:w="1195" w:type="dxa"/>
            <w:shd w:val="clear" w:color="auto" w:fill="D9F2D0" w:themeFill="accent6" w:themeFillTint="33"/>
            <w:noWrap/>
            <w:vAlign w:val="center"/>
            <w:hideMark/>
          </w:tcPr>
          <w:p w14:paraId="582AECA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235" w:type="dxa"/>
            <w:shd w:val="clear" w:color="auto" w:fill="D9F2D0" w:themeFill="accent6" w:themeFillTint="33"/>
            <w:noWrap/>
            <w:vAlign w:val="bottom"/>
            <w:hideMark/>
          </w:tcPr>
          <w:p w14:paraId="01C4EA8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clarifies owner-occupancy requirements in a first home investment zone; clarifies how extraterritorial homes may be included in density and owner-occupancy requirements for a first home investment zone; and makes technical changes.</w:t>
            </w:r>
          </w:p>
        </w:tc>
      </w:tr>
      <w:tr w:rsidR="00810242" w:rsidRPr="009F145E" w14:paraId="68FD779B" w14:textId="77777777" w:rsidTr="008F3AA8">
        <w:trPr>
          <w:trHeight w:val="290"/>
          <w:jc w:val="center"/>
        </w:trPr>
        <w:tc>
          <w:tcPr>
            <w:tcW w:w="1173" w:type="dxa"/>
            <w:shd w:val="clear" w:color="auto" w:fill="auto"/>
            <w:noWrap/>
            <w:vAlign w:val="center"/>
            <w:hideMark/>
          </w:tcPr>
          <w:p w14:paraId="2887FB5B" w14:textId="6FA5649F" w:rsidR="009F145E" w:rsidRPr="009F145E" w:rsidRDefault="009F145E" w:rsidP="00FE0552">
            <w:pPr>
              <w:spacing w:after="0" w:line="240" w:lineRule="auto"/>
              <w:rPr>
                <w:rFonts w:ascii="Aptos Narrow" w:eastAsia="Times New Roman" w:hAnsi="Aptos Narrow" w:cs="Times New Roman"/>
                <w:color w:val="000000"/>
                <w:kern w:val="0"/>
                <w:sz w:val="22"/>
                <w:szCs w:val="22"/>
                <w14:ligatures w14:val="none"/>
              </w:rPr>
            </w:pPr>
            <w:hyperlink r:id="rId50" w:history="1">
              <w:r w:rsidRPr="009F145E">
                <w:rPr>
                  <w:rStyle w:val="Hyperlink"/>
                  <w:rFonts w:ascii="Aptos Narrow" w:eastAsia="Times New Roman" w:hAnsi="Aptos Narrow" w:cs="Times New Roman"/>
                  <w:kern w:val="0"/>
                  <w:sz w:val="22"/>
                  <w:szCs w:val="22"/>
                  <w14:ligatures w14:val="none"/>
                </w:rPr>
                <w:t>SB0016</w:t>
              </w:r>
            </w:hyperlink>
          </w:p>
        </w:tc>
        <w:tc>
          <w:tcPr>
            <w:tcW w:w="3075" w:type="dxa"/>
            <w:shd w:val="clear" w:color="auto" w:fill="auto"/>
            <w:noWrap/>
            <w:vAlign w:val="center"/>
            <w:hideMark/>
          </w:tcPr>
          <w:p w14:paraId="03C28E8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Notice Amendments</w:t>
            </w:r>
          </w:p>
        </w:tc>
        <w:tc>
          <w:tcPr>
            <w:tcW w:w="1195" w:type="dxa"/>
            <w:shd w:val="clear" w:color="auto" w:fill="auto"/>
            <w:noWrap/>
            <w:vAlign w:val="center"/>
            <w:hideMark/>
          </w:tcPr>
          <w:p w14:paraId="59E29AE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FILLML</w:t>
            </w:r>
          </w:p>
        </w:tc>
        <w:tc>
          <w:tcPr>
            <w:tcW w:w="9235" w:type="dxa"/>
            <w:shd w:val="clear" w:color="auto" w:fill="auto"/>
            <w:noWrap/>
            <w:vAlign w:val="bottom"/>
            <w:hideMark/>
          </w:tcPr>
          <w:p w14:paraId="655E2D5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a county auditor to include on the property tax valuation notice: a statement that a property owner who is 75 years old or older may be eligible for a deferral on the property owner's primary residence; and a telephone number to obtain information about how to apply for a deferral; and makes technical corrections.</w:t>
            </w:r>
          </w:p>
        </w:tc>
      </w:tr>
      <w:tr w:rsidR="00810242" w:rsidRPr="009F145E" w14:paraId="5B390F53" w14:textId="77777777" w:rsidTr="008F3AA8">
        <w:trPr>
          <w:trHeight w:val="290"/>
          <w:jc w:val="center"/>
        </w:trPr>
        <w:tc>
          <w:tcPr>
            <w:tcW w:w="1173" w:type="dxa"/>
            <w:shd w:val="clear" w:color="auto" w:fill="auto"/>
            <w:noWrap/>
            <w:vAlign w:val="center"/>
            <w:hideMark/>
          </w:tcPr>
          <w:p w14:paraId="5EE266D3" w14:textId="4E150D6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1" w:history="1">
              <w:r w:rsidRPr="009F145E">
                <w:rPr>
                  <w:rStyle w:val="Hyperlink"/>
                  <w:rFonts w:ascii="Aptos Narrow" w:eastAsia="Times New Roman" w:hAnsi="Aptos Narrow" w:cs="Times New Roman"/>
                  <w:kern w:val="0"/>
                  <w:sz w:val="22"/>
                  <w:szCs w:val="22"/>
                  <w14:ligatures w14:val="none"/>
                </w:rPr>
                <w:t>SB0025</w:t>
              </w:r>
            </w:hyperlink>
          </w:p>
        </w:tc>
        <w:tc>
          <w:tcPr>
            <w:tcW w:w="3075" w:type="dxa"/>
            <w:shd w:val="clear" w:color="auto" w:fill="auto"/>
            <w:noWrap/>
            <w:vAlign w:val="center"/>
            <w:hideMark/>
          </w:tcPr>
          <w:p w14:paraId="2E8F8D9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Postretirement Reemployment for Emergency Services Workers</w:t>
            </w:r>
          </w:p>
        </w:tc>
        <w:tc>
          <w:tcPr>
            <w:tcW w:w="1195" w:type="dxa"/>
            <w:shd w:val="clear" w:color="auto" w:fill="auto"/>
            <w:noWrap/>
            <w:vAlign w:val="center"/>
            <w:hideMark/>
          </w:tcPr>
          <w:p w14:paraId="5438752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235" w:type="dxa"/>
            <w:shd w:val="clear" w:color="auto" w:fill="auto"/>
            <w:noWrap/>
            <w:vAlign w:val="bottom"/>
            <w:hideMark/>
          </w:tcPr>
          <w:p w14:paraId="14F3776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earnings limit for postretirement reemployment as an affiliated emergency services worker; and makes technical and conforming changes.</w:t>
            </w:r>
          </w:p>
        </w:tc>
      </w:tr>
      <w:tr w:rsidR="00810242" w:rsidRPr="009F145E" w14:paraId="5E0FF075" w14:textId="77777777" w:rsidTr="00285E11">
        <w:trPr>
          <w:trHeight w:val="290"/>
          <w:jc w:val="center"/>
        </w:trPr>
        <w:tc>
          <w:tcPr>
            <w:tcW w:w="1173" w:type="dxa"/>
            <w:shd w:val="clear" w:color="auto" w:fill="D9F2D0" w:themeFill="accent6" w:themeFillTint="33"/>
            <w:noWrap/>
            <w:vAlign w:val="center"/>
            <w:hideMark/>
          </w:tcPr>
          <w:p w14:paraId="370DB99F" w14:textId="085D573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2" w:history="1">
              <w:r w:rsidRPr="009F145E">
                <w:rPr>
                  <w:rStyle w:val="Hyperlink"/>
                  <w:rFonts w:ascii="Aptos Narrow" w:eastAsia="Times New Roman" w:hAnsi="Aptos Narrow" w:cs="Times New Roman"/>
                  <w:kern w:val="0"/>
                  <w:sz w:val="22"/>
                  <w:szCs w:val="22"/>
                  <w14:ligatures w14:val="none"/>
                </w:rPr>
                <w:t>SB0026</w:t>
              </w:r>
            </w:hyperlink>
          </w:p>
        </w:tc>
        <w:tc>
          <w:tcPr>
            <w:tcW w:w="3075" w:type="dxa"/>
            <w:shd w:val="clear" w:color="auto" w:fill="D9F2D0" w:themeFill="accent6" w:themeFillTint="33"/>
            <w:noWrap/>
            <w:vAlign w:val="center"/>
            <w:hideMark/>
          </w:tcPr>
          <w:p w14:paraId="2496D3C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and Transit Reinvestment Zone Amendments</w:t>
            </w:r>
          </w:p>
        </w:tc>
        <w:tc>
          <w:tcPr>
            <w:tcW w:w="1195" w:type="dxa"/>
            <w:shd w:val="clear" w:color="auto" w:fill="D9F2D0" w:themeFill="accent6" w:themeFillTint="33"/>
            <w:noWrap/>
            <w:vAlign w:val="center"/>
            <w:hideMark/>
          </w:tcPr>
          <w:p w14:paraId="4946D93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235" w:type="dxa"/>
            <w:shd w:val="clear" w:color="auto" w:fill="D9F2D0" w:themeFill="accent6" w:themeFillTint="33"/>
            <w:noWrap/>
            <w:vAlign w:val="bottom"/>
            <w:hideMark/>
          </w:tcPr>
          <w:p w14:paraId="3E08437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amends the median gross income for a certain percentage of proposed dwelling units within the housing and transit reinvestment zone to the county median gross income for households of the same size; clarifies that the collection of a tax increment for a housing and transit reinvestment zone project may be triggered no more than three times per project; and makes technical and conforming changes.</w:t>
            </w:r>
          </w:p>
        </w:tc>
      </w:tr>
      <w:tr w:rsidR="00810242" w:rsidRPr="009F145E" w14:paraId="55D17B4E" w14:textId="77777777" w:rsidTr="00285E11">
        <w:trPr>
          <w:trHeight w:val="290"/>
          <w:jc w:val="center"/>
        </w:trPr>
        <w:tc>
          <w:tcPr>
            <w:tcW w:w="1173" w:type="dxa"/>
            <w:shd w:val="clear" w:color="auto" w:fill="F8D8D8"/>
            <w:noWrap/>
            <w:vAlign w:val="center"/>
            <w:hideMark/>
          </w:tcPr>
          <w:p w14:paraId="2488B15E" w14:textId="3BD72C6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3" w:history="1">
              <w:r w:rsidRPr="009F145E">
                <w:rPr>
                  <w:rStyle w:val="Hyperlink"/>
                  <w:rFonts w:ascii="Aptos Narrow" w:eastAsia="Times New Roman" w:hAnsi="Aptos Narrow" w:cs="Times New Roman"/>
                  <w:kern w:val="0"/>
                  <w:sz w:val="22"/>
                  <w:szCs w:val="22"/>
                  <w14:ligatures w14:val="none"/>
                </w:rPr>
                <w:t>SB0055</w:t>
              </w:r>
            </w:hyperlink>
          </w:p>
        </w:tc>
        <w:tc>
          <w:tcPr>
            <w:tcW w:w="3075" w:type="dxa"/>
            <w:shd w:val="clear" w:color="auto" w:fill="F8D8D8"/>
            <w:noWrap/>
            <w:vAlign w:val="center"/>
            <w:hideMark/>
          </w:tcPr>
          <w:p w14:paraId="2B09161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Unauthorized Use of Real Property Amendments</w:t>
            </w:r>
          </w:p>
        </w:tc>
        <w:tc>
          <w:tcPr>
            <w:tcW w:w="1195" w:type="dxa"/>
            <w:shd w:val="clear" w:color="auto" w:fill="F8D8D8"/>
            <w:noWrap/>
            <w:vAlign w:val="center"/>
            <w:hideMark/>
          </w:tcPr>
          <w:p w14:paraId="16A1AAB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BALDEH</w:t>
            </w:r>
          </w:p>
        </w:tc>
        <w:tc>
          <w:tcPr>
            <w:tcW w:w="9235" w:type="dxa"/>
            <w:shd w:val="clear" w:color="auto" w:fill="F8D8D8"/>
            <w:noWrap/>
            <w:vAlign w:val="bottom"/>
            <w:hideMark/>
          </w:tcPr>
          <w:p w14:paraId="531E8B43" w14:textId="1F0DFC1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Authorizes property owners or their agents to request assistance from the sheriff for the immediate removal of a trespasser from real property under certain conditions; requires an owner seeking removal of a trespasser, or the owner's authorized agent, to submit a complaint; specifies requirements for the complaint; provides requirements for the sheriff; authorizes a sheriff to arrest a trespasser for legal cause; provides that a sheriff is entitled to a specified fee for service of notice to vacate; authorizes the owner or agent to request that the sheriff stand by while the owner or agent takes possession of the property; authorizes the sheriff to charge a reasonable hourly rate; provides that the sheriff is not liable to any party for loss, destruction, or damage; provides that the property owner or agent is not liable to any party for the loss or destruction of, or damage to, personal property unless it was wrongfully removed; provides civil remedies; imposes criminal penalties for unlawfully detaining, occupying, or trespassing of, real property intentionally and causing a specified amount of damage; imposes criminal penalties for any person who knowingly and willfully presents a false document purporting to be a valid lease agreement, deed, or other instrument conveying real property rights;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 imposes criminal penalties for fraudulently listing or advertising for sale, or renting or leasing, residential real property under certain circumstances; and provides criminal penalties for committing perjury.</w:t>
            </w:r>
          </w:p>
        </w:tc>
      </w:tr>
      <w:tr w:rsidR="00810242" w:rsidRPr="009F145E" w14:paraId="3CEEB677" w14:textId="77777777" w:rsidTr="00F51B0F">
        <w:trPr>
          <w:trHeight w:val="290"/>
          <w:jc w:val="center"/>
        </w:trPr>
        <w:tc>
          <w:tcPr>
            <w:tcW w:w="1173" w:type="dxa"/>
            <w:shd w:val="clear" w:color="auto" w:fill="auto"/>
            <w:noWrap/>
            <w:vAlign w:val="center"/>
            <w:hideMark/>
          </w:tcPr>
          <w:p w14:paraId="607443BD" w14:textId="59173CBC"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4" w:history="1">
              <w:r w:rsidRPr="009F145E">
                <w:rPr>
                  <w:rStyle w:val="Hyperlink"/>
                  <w:rFonts w:ascii="Aptos Narrow" w:eastAsia="Times New Roman" w:hAnsi="Aptos Narrow" w:cs="Times New Roman"/>
                  <w:kern w:val="0"/>
                  <w:sz w:val="22"/>
                  <w:szCs w:val="22"/>
                  <w14:ligatures w14:val="none"/>
                </w:rPr>
                <w:t>SB0071</w:t>
              </w:r>
            </w:hyperlink>
          </w:p>
        </w:tc>
        <w:tc>
          <w:tcPr>
            <w:tcW w:w="3075" w:type="dxa"/>
            <w:shd w:val="clear" w:color="auto" w:fill="auto"/>
            <w:noWrap/>
            <w:vAlign w:val="center"/>
            <w:hideMark/>
          </w:tcPr>
          <w:p w14:paraId="675792C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Social Security Tax Revisions</w:t>
            </w:r>
          </w:p>
        </w:tc>
        <w:tc>
          <w:tcPr>
            <w:tcW w:w="1195" w:type="dxa"/>
            <w:shd w:val="clear" w:color="auto" w:fill="auto"/>
            <w:noWrap/>
            <w:vAlign w:val="bottom"/>
            <w:hideMark/>
          </w:tcPr>
          <w:p w14:paraId="25A6FCC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235" w:type="dxa"/>
            <w:shd w:val="clear" w:color="auto" w:fill="auto"/>
            <w:noWrap/>
            <w:vAlign w:val="bottom"/>
            <w:hideMark/>
          </w:tcPr>
          <w:p w14:paraId="123CAE1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Removes the income limitations on eligibility for the social security benefits tax credit; and makes technical changes.</w:t>
            </w:r>
          </w:p>
        </w:tc>
      </w:tr>
      <w:tr w:rsidR="00810242" w:rsidRPr="009F145E" w14:paraId="648F96AE" w14:textId="77777777" w:rsidTr="00F51B0F">
        <w:trPr>
          <w:trHeight w:val="290"/>
          <w:jc w:val="center"/>
        </w:trPr>
        <w:tc>
          <w:tcPr>
            <w:tcW w:w="1173" w:type="dxa"/>
            <w:shd w:val="clear" w:color="auto" w:fill="auto"/>
            <w:noWrap/>
            <w:vAlign w:val="center"/>
            <w:hideMark/>
          </w:tcPr>
          <w:p w14:paraId="2CDAC979" w14:textId="7231E848"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5" w:history="1">
              <w:r w:rsidRPr="009F145E">
                <w:rPr>
                  <w:rStyle w:val="Hyperlink"/>
                  <w:rFonts w:ascii="Aptos Narrow" w:eastAsia="Times New Roman" w:hAnsi="Aptos Narrow" w:cs="Times New Roman"/>
                  <w:kern w:val="0"/>
                  <w:sz w:val="22"/>
                  <w:szCs w:val="22"/>
                  <w14:ligatures w14:val="none"/>
                </w:rPr>
                <w:t>SB0078</w:t>
              </w:r>
            </w:hyperlink>
          </w:p>
        </w:tc>
        <w:tc>
          <w:tcPr>
            <w:tcW w:w="3075" w:type="dxa"/>
            <w:shd w:val="clear" w:color="auto" w:fill="auto"/>
            <w:noWrap/>
            <w:vAlign w:val="center"/>
            <w:hideMark/>
          </w:tcPr>
          <w:p w14:paraId="6070036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 Individuals Protection Amendments</w:t>
            </w:r>
          </w:p>
        </w:tc>
        <w:tc>
          <w:tcPr>
            <w:tcW w:w="1195" w:type="dxa"/>
            <w:shd w:val="clear" w:color="auto" w:fill="auto"/>
            <w:noWrap/>
            <w:vAlign w:val="bottom"/>
            <w:hideMark/>
          </w:tcPr>
          <w:p w14:paraId="443FFF4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235" w:type="dxa"/>
            <w:shd w:val="clear" w:color="auto" w:fill="auto"/>
            <w:noWrap/>
            <w:vAlign w:val="bottom"/>
            <w:hideMark/>
          </w:tcPr>
          <w:p w14:paraId="6630433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the homeless services provider ombudsman (ombudsman) within the Office of Homeless Services (office); describes the duties and functions of the ombudsman; and authorizes the office to make rules to implement and carry out the ombudsman's duties and functions.</w:t>
            </w:r>
          </w:p>
        </w:tc>
      </w:tr>
      <w:tr w:rsidR="00810242" w:rsidRPr="009F145E" w14:paraId="530D3989" w14:textId="77777777" w:rsidTr="00F51B0F">
        <w:trPr>
          <w:trHeight w:val="290"/>
          <w:jc w:val="center"/>
        </w:trPr>
        <w:tc>
          <w:tcPr>
            <w:tcW w:w="1173" w:type="dxa"/>
            <w:shd w:val="clear" w:color="auto" w:fill="auto"/>
            <w:noWrap/>
            <w:vAlign w:val="center"/>
            <w:hideMark/>
          </w:tcPr>
          <w:p w14:paraId="73947B28" w14:textId="759D757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6" w:history="1">
              <w:r w:rsidRPr="009F145E">
                <w:rPr>
                  <w:rStyle w:val="Hyperlink"/>
                  <w:rFonts w:ascii="Aptos Narrow" w:eastAsia="Times New Roman" w:hAnsi="Aptos Narrow" w:cs="Times New Roman"/>
                  <w:kern w:val="0"/>
                  <w:sz w:val="22"/>
                  <w:szCs w:val="22"/>
                  <w14:ligatures w14:val="none"/>
                </w:rPr>
                <w:t>SB0091</w:t>
              </w:r>
            </w:hyperlink>
          </w:p>
        </w:tc>
        <w:tc>
          <w:tcPr>
            <w:tcW w:w="3075" w:type="dxa"/>
            <w:shd w:val="clear" w:color="auto" w:fill="auto"/>
            <w:noWrap/>
            <w:vAlign w:val="center"/>
            <w:hideMark/>
          </w:tcPr>
          <w:p w14:paraId="2245A79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Restaurant Tax Revisions</w:t>
            </w:r>
          </w:p>
        </w:tc>
        <w:tc>
          <w:tcPr>
            <w:tcW w:w="1195" w:type="dxa"/>
            <w:shd w:val="clear" w:color="auto" w:fill="auto"/>
            <w:noWrap/>
            <w:vAlign w:val="bottom"/>
            <w:hideMark/>
          </w:tcPr>
          <w:p w14:paraId="653B21A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FILLML</w:t>
            </w:r>
          </w:p>
        </w:tc>
        <w:tc>
          <w:tcPr>
            <w:tcW w:w="9235" w:type="dxa"/>
            <w:shd w:val="clear" w:color="auto" w:fill="auto"/>
            <w:noWrap/>
            <w:vAlign w:val="bottom"/>
            <w:hideMark/>
          </w:tcPr>
          <w:p w14:paraId="2886B652" w14:textId="65FA137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updates the definition of restaurant to include portions of the grocery store that function like a restaurant, resulting in the restaurant tax being imposed on transactions from the restaurant portion of the grocery store.</w:t>
            </w:r>
          </w:p>
        </w:tc>
      </w:tr>
      <w:tr w:rsidR="00810242" w:rsidRPr="009F145E" w14:paraId="0A99CC6A" w14:textId="77777777" w:rsidTr="00285E11">
        <w:trPr>
          <w:trHeight w:val="290"/>
          <w:jc w:val="center"/>
        </w:trPr>
        <w:tc>
          <w:tcPr>
            <w:tcW w:w="1173" w:type="dxa"/>
            <w:shd w:val="clear" w:color="auto" w:fill="auto"/>
            <w:noWrap/>
            <w:vAlign w:val="center"/>
            <w:hideMark/>
          </w:tcPr>
          <w:p w14:paraId="0555304A" w14:textId="17E3A3C3"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7" w:history="1">
              <w:r w:rsidRPr="009F145E">
                <w:rPr>
                  <w:rStyle w:val="Hyperlink"/>
                  <w:rFonts w:ascii="Aptos Narrow" w:eastAsia="Times New Roman" w:hAnsi="Aptos Narrow" w:cs="Times New Roman"/>
                  <w:kern w:val="0"/>
                  <w:sz w:val="22"/>
                  <w:szCs w:val="22"/>
                  <w14:ligatures w14:val="none"/>
                </w:rPr>
                <w:t>SB0097</w:t>
              </w:r>
            </w:hyperlink>
          </w:p>
        </w:tc>
        <w:tc>
          <w:tcPr>
            <w:tcW w:w="3075" w:type="dxa"/>
            <w:shd w:val="clear" w:color="auto" w:fill="auto"/>
            <w:noWrap/>
            <w:vAlign w:val="center"/>
            <w:hideMark/>
          </w:tcPr>
          <w:p w14:paraId="302A4AF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Emergency Shelter Amendments</w:t>
            </w:r>
          </w:p>
        </w:tc>
        <w:tc>
          <w:tcPr>
            <w:tcW w:w="1195" w:type="dxa"/>
            <w:shd w:val="clear" w:color="auto" w:fill="auto"/>
            <w:noWrap/>
            <w:vAlign w:val="center"/>
            <w:hideMark/>
          </w:tcPr>
          <w:p w14:paraId="618BD06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235" w:type="dxa"/>
            <w:shd w:val="clear" w:color="auto" w:fill="auto"/>
            <w:noWrap/>
            <w:vAlign w:val="bottom"/>
            <w:hideMark/>
          </w:tcPr>
          <w:p w14:paraId="4BC61ED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that a county, city, or town emergency operations plan shall designate at least one shelter to accommodate an individual's personal animal; and makes technical and conforming changes.</w:t>
            </w:r>
          </w:p>
        </w:tc>
      </w:tr>
      <w:tr w:rsidR="00810242" w:rsidRPr="009F145E" w14:paraId="68625F66" w14:textId="77777777" w:rsidTr="00285E11">
        <w:trPr>
          <w:trHeight w:val="290"/>
          <w:jc w:val="center"/>
        </w:trPr>
        <w:tc>
          <w:tcPr>
            <w:tcW w:w="1173" w:type="dxa"/>
            <w:shd w:val="clear" w:color="auto" w:fill="auto"/>
            <w:noWrap/>
            <w:vAlign w:val="center"/>
            <w:hideMark/>
          </w:tcPr>
          <w:p w14:paraId="4943BBB9" w14:textId="64EB6B0A"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8" w:history="1">
              <w:r w:rsidRPr="009F145E">
                <w:rPr>
                  <w:rStyle w:val="Hyperlink"/>
                  <w:rFonts w:ascii="Aptos Narrow" w:eastAsia="Times New Roman" w:hAnsi="Aptos Narrow" w:cs="Times New Roman"/>
                  <w:kern w:val="0"/>
                  <w:sz w:val="22"/>
                  <w:szCs w:val="22"/>
                  <w14:ligatures w14:val="none"/>
                </w:rPr>
                <w:t>SB0112</w:t>
              </w:r>
            </w:hyperlink>
          </w:p>
        </w:tc>
        <w:tc>
          <w:tcPr>
            <w:tcW w:w="3075" w:type="dxa"/>
            <w:shd w:val="clear" w:color="auto" w:fill="auto"/>
            <w:noWrap/>
            <w:vAlign w:val="center"/>
            <w:hideMark/>
          </w:tcPr>
          <w:p w14:paraId="4685916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Lobbying Compensation Amendments</w:t>
            </w:r>
          </w:p>
        </w:tc>
        <w:tc>
          <w:tcPr>
            <w:tcW w:w="1195" w:type="dxa"/>
            <w:shd w:val="clear" w:color="auto" w:fill="auto"/>
            <w:noWrap/>
            <w:vAlign w:val="center"/>
            <w:hideMark/>
          </w:tcPr>
          <w:p w14:paraId="0D281D8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GROVEK</w:t>
            </w:r>
          </w:p>
        </w:tc>
        <w:tc>
          <w:tcPr>
            <w:tcW w:w="9235" w:type="dxa"/>
            <w:shd w:val="clear" w:color="auto" w:fill="auto"/>
            <w:noWrap/>
            <w:vAlign w:val="bottom"/>
            <w:hideMark/>
          </w:tcPr>
          <w:p w14:paraId="57014FE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Permits contingent compensation for lobbying under certain circumstances; and requires a contract for contingent compensation of a lobbyist to be filed with the lieutenant governor as a public record.</w:t>
            </w:r>
          </w:p>
        </w:tc>
      </w:tr>
      <w:tr w:rsidR="00810242" w:rsidRPr="009F145E" w14:paraId="1A4BB287" w14:textId="77777777" w:rsidTr="00285E11">
        <w:trPr>
          <w:trHeight w:val="290"/>
          <w:jc w:val="center"/>
        </w:trPr>
        <w:tc>
          <w:tcPr>
            <w:tcW w:w="1173" w:type="dxa"/>
            <w:shd w:val="clear" w:color="auto" w:fill="auto"/>
            <w:noWrap/>
            <w:vAlign w:val="center"/>
            <w:hideMark/>
          </w:tcPr>
          <w:p w14:paraId="20F2C524" w14:textId="3B48C95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59" w:history="1">
              <w:r w:rsidRPr="009F145E">
                <w:rPr>
                  <w:rStyle w:val="Hyperlink"/>
                  <w:rFonts w:ascii="Aptos Narrow" w:eastAsia="Times New Roman" w:hAnsi="Aptos Narrow" w:cs="Times New Roman"/>
                  <w:kern w:val="0"/>
                  <w:sz w:val="22"/>
                  <w:szCs w:val="22"/>
                  <w14:ligatures w14:val="none"/>
                </w:rPr>
                <w:t>SB0148</w:t>
              </w:r>
            </w:hyperlink>
          </w:p>
        </w:tc>
        <w:tc>
          <w:tcPr>
            <w:tcW w:w="3075" w:type="dxa"/>
            <w:shd w:val="clear" w:color="auto" w:fill="auto"/>
            <w:noWrap/>
            <w:vAlign w:val="center"/>
            <w:hideMark/>
          </w:tcPr>
          <w:p w14:paraId="1C81BDF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Court Fees and Administration Amendments</w:t>
            </w:r>
          </w:p>
        </w:tc>
        <w:tc>
          <w:tcPr>
            <w:tcW w:w="1195" w:type="dxa"/>
            <w:shd w:val="clear" w:color="auto" w:fill="auto"/>
            <w:noWrap/>
            <w:vAlign w:val="center"/>
            <w:hideMark/>
          </w:tcPr>
          <w:p w14:paraId="38605B1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WEILET</w:t>
            </w:r>
          </w:p>
        </w:tc>
        <w:tc>
          <w:tcPr>
            <w:tcW w:w="9235" w:type="dxa"/>
            <w:shd w:val="clear" w:color="auto" w:fill="auto"/>
            <w:noWrap/>
            <w:vAlign w:val="bottom"/>
            <w:hideMark/>
          </w:tcPr>
          <w:p w14:paraId="639305A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Removes unused provisions; modifies language addressing bail to conform with recent statutory changes; increases the filing fee surcharge for cases filed using the online court assistance program; updates terminology; clarifies that a request for a protective order does not have a filing fee surcharge under the online court assistance program; permits the courts to use a portion of the funds in the Online Court Assistance Account for security costs in courts of record; and provides that Court Security Account funds may be used for all courts of record.</w:t>
            </w:r>
          </w:p>
        </w:tc>
      </w:tr>
      <w:tr w:rsidR="00810242" w:rsidRPr="009F145E" w14:paraId="49B85FBD" w14:textId="77777777" w:rsidTr="00285E11">
        <w:trPr>
          <w:trHeight w:val="290"/>
          <w:jc w:val="center"/>
        </w:trPr>
        <w:tc>
          <w:tcPr>
            <w:tcW w:w="1173" w:type="dxa"/>
            <w:shd w:val="clear" w:color="auto" w:fill="auto"/>
            <w:noWrap/>
            <w:vAlign w:val="center"/>
            <w:hideMark/>
          </w:tcPr>
          <w:p w14:paraId="650CB1FE" w14:textId="67E3283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60" w:history="1">
              <w:r w:rsidRPr="009F145E">
                <w:rPr>
                  <w:rStyle w:val="Hyperlink"/>
                  <w:rFonts w:ascii="Aptos Narrow" w:eastAsia="Times New Roman" w:hAnsi="Aptos Narrow" w:cs="Times New Roman"/>
                  <w:kern w:val="0"/>
                  <w:sz w:val="22"/>
                  <w:szCs w:val="22"/>
                  <w14:ligatures w14:val="none"/>
                </w:rPr>
                <w:t>SB0121</w:t>
              </w:r>
            </w:hyperlink>
          </w:p>
        </w:tc>
        <w:tc>
          <w:tcPr>
            <w:tcW w:w="3075" w:type="dxa"/>
            <w:shd w:val="clear" w:color="auto" w:fill="auto"/>
            <w:noWrap/>
            <w:vAlign w:val="center"/>
            <w:hideMark/>
          </w:tcPr>
          <w:p w14:paraId="33154C0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Loss Amendments</w:t>
            </w:r>
          </w:p>
        </w:tc>
        <w:tc>
          <w:tcPr>
            <w:tcW w:w="1195" w:type="dxa"/>
            <w:shd w:val="clear" w:color="auto" w:fill="auto"/>
            <w:noWrap/>
            <w:vAlign w:val="center"/>
            <w:hideMark/>
          </w:tcPr>
          <w:p w14:paraId="5312212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235" w:type="dxa"/>
            <w:shd w:val="clear" w:color="auto" w:fill="auto"/>
            <w:noWrap/>
            <w:vAlign w:val="bottom"/>
            <w:hideMark/>
          </w:tcPr>
          <w:p w14:paraId="798DA323" w14:textId="45C92B8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the Property Loss Related to Homelessness Compensation Fund (fund); describes allowable uses of the fund; provides that money in the fund is non</w:t>
            </w:r>
            <w:r>
              <w:rPr>
                <w:rFonts w:ascii="Aptos Narrow" w:eastAsia="Times New Roman" w:hAnsi="Aptos Narrow" w:cs="Times New Roman"/>
                <w:color w:val="000000"/>
                <w:kern w:val="0"/>
                <w:sz w:val="22"/>
                <w:szCs w:val="22"/>
                <w14:ligatures w14:val="none"/>
              </w:rPr>
              <w:t>-</w:t>
            </w:r>
            <w:r w:rsidRPr="009F145E">
              <w:rPr>
                <w:rFonts w:ascii="Aptos Narrow" w:eastAsia="Times New Roman" w:hAnsi="Aptos Narrow" w:cs="Times New Roman"/>
                <w:color w:val="000000"/>
                <w:kern w:val="0"/>
                <w:sz w:val="22"/>
                <w:szCs w:val="22"/>
                <w14:ligatures w14:val="none"/>
              </w:rPr>
              <w:t>lapsing; creates the Property Loss Related to Homelessness Advisory Committee (committee); and describes the duties of the committee.</w:t>
            </w:r>
          </w:p>
        </w:tc>
      </w:tr>
      <w:tr w:rsidR="00810242" w:rsidRPr="009F145E" w14:paraId="34DA0E7F" w14:textId="77777777" w:rsidTr="00285E11">
        <w:trPr>
          <w:trHeight w:val="290"/>
          <w:jc w:val="center"/>
        </w:trPr>
        <w:tc>
          <w:tcPr>
            <w:tcW w:w="1173" w:type="dxa"/>
            <w:shd w:val="clear" w:color="auto" w:fill="D9F2D0" w:themeFill="accent6" w:themeFillTint="33"/>
            <w:noWrap/>
            <w:vAlign w:val="center"/>
            <w:hideMark/>
          </w:tcPr>
          <w:p w14:paraId="413DB066" w14:textId="583F913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61" w:history="1">
              <w:r w:rsidRPr="009F145E">
                <w:rPr>
                  <w:rStyle w:val="Hyperlink"/>
                  <w:rFonts w:ascii="Aptos Narrow" w:eastAsia="Times New Roman" w:hAnsi="Aptos Narrow" w:cs="Times New Roman"/>
                  <w:kern w:val="0"/>
                  <w:sz w:val="22"/>
                  <w:szCs w:val="22"/>
                  <w14:ligatures w14:val="none"/>
                </w:rPr>
                <w:t>SB0125</w:t>
              </w:r>
            </w:hyperlink>
          </w:p>
        </w:tc>
        <w:tc>
          <w:tcPr>
            <w:tcW w:w="3075" w:type="dxa"/>
            <w:shd w:val="clear" w:color="auto" w:fill="D9F2D0" w:themeFill="accent6" w:themeFillTint="33"/>
            <w:noWrap/>
            <w:vAlign w:val="center"/>
            <w:hideMark/>
          </w:tcPr>
          <w:p w14:paraId="76A5119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Eviction Amendments</w:t>
            </w:r>
          </w:p>
        </w:tc>
        <w:tc>
          <w:tcPr>
            <w:tcW w:w="1195" w:type="dxa"/>
            <w:shd w:val="clear" w:color="auto" w:fill="D9F2D0" w:themeFill="accent6" w:themeFillTint="33"/>
            <w:noWrap/>
            <w:vAlign w:val="bottom"/>
            <w:hideMark/>
          </w:tcPr>
          <w:p w14:paraId="35A1CF1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BLOUIN</w:t>
            </w:r>
          </w:p>
        </w:tc>
        <w:tc>
          <w:tcPr>
            <w:tcW w:w="9235" w:type="dxa"/>
            <w:shd w:val="clear" w:color="auto" w:fill="D9F2D0" w:themeFill="accent6" w:themeFillTint="33"/>
            <w:noWrap/>
            <w:vAlign w:val="bottom"/>
            <w:hideMark/>
          </w:tcPr>
          <w:p w14:paraId="1B916B9C" w14:textId="72605F4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Lowers the </w:t>
            </w:r>
            <w:proofErr w:type="gramStart"/>
            <w:r w:rsidRPr="009F145E">
              <w:rPr>
                <w:rFonts w:ascii="Aptos Narrow" w:eastAsia="Times New Roman" w:hAnsi="Aptos Narrow" w:cs="Times New Roman"/>
                <w:color w:val="000000"/>
                <w:kern w:val="0"/>
                <w:sz w:val="22"/>
                <w:szCs w:val="22"/>
                <w14:ligatures w14:val="none"/>
              </w:rPr>
              <w:t>amount</w:t>
            </w:r>
            <w:proofErr w:type="gramEnd"/>
            <w:r w:rsidRPr="009F145E">
              <w:rPr>
                <w:rFonts w:ascii="Aptos Narrow" w:eastAsia="Times New Roman" w:hAnsi="Aptos Narrow" w:cs="Times New Roman"/>
                <w:color w:val="000000"/>
                <w:kern w:val="0"/>
                <w:sz w:val="22"/>
                <w:szCs w:val="22"/>
                <w14:ligatures w14:val="none"/>
              </w:rPr>
              <w:t xml:space="preserve"> of damages a jury or court may award in a proceeding involving a tenant and an owner; and</w:t>
            </w:r>
            <w:r w:rsidR="00772644">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810242" w:rsidRPr="009F145E" w14:paraId="7D535C08" w14:textId="77777777" w:rsidTr="00F51B0F">
        <w:trPr>
          <w:trHeight w:val="290"/>
          <w:jc w:val="center"/>
        </w:trPr>
        <w:tc>
          <w:tcPr>
            <w:tcW w:w="1173" w:type="dxa"/>
            <w:shd w:val="clear" w:color="auto" w:fill="auto"/>
            <w:noWrap/>
            <w:vAlign w:val="center"/>
            <w:hideMark/>
          </w:tcPr>
          <w:p w14:paraId="2C6AFB46" w14:textId="245270C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62" w:history="1">
              <w:r w:rsidRPr="009F145E">
                <w:rPr>
                  <w:rStyle w:val="Hyperlink"/>
                  <w:rFonts w:ascii="Aptos Narrow" w:eastAsia="Times New Roman" w:hAnsi="Aptos Narrow" w:cs="Times New Roman"/>
                  <w:kern w:val="0"/>
                  <w:sz w:val="22"/>
                  <w:szCs w:val="22"/>
                  <w14:ligatures w14:val="none"/>
                </w:rPr>
                <w:t>SJR003</w:t>
              </w:r>
            </w:hyperlink>
          </w:p>
        </w:tc>
        <w:tc>
          <w:tcPr>
            <w:tcW w:w="3075" w:type="dxa"/>
            <w:shd w:val="clear" w:color="auto" w:fill="auto"/>
            <w:noWrap/>
            <w:vAlign w:val="center"/>
            <w:hideMark/>
          </w:tcPr>
          <w:p w14:paraId="1F367DC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Joint Resolution Dissolving Salt Lake County Justice Court</w:t>
            </w:r>
          </w:p>
        </w:tc>
        <w:tc>
          <w:tcPr>
            <w:tcW w:w="1195" w:type="dxa"/>
            <w:shd w:val="clear" w:color="auto" w:fill="auto"/>
            <w:noWrap/>
            <w:vAlign w:val="bottom"/>
            <w:hideMark/>
          </w:tcPr>
          <w:p w14:paraId="0885055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CULLIKA</w:t>
            </w:r>
          </w:p>
        </w:tc>
        <w:tc>
          <w:tcPr>
            <w:tcW w:w="9235" w:type="dxa"/>
            <w:shd w:val="clear" w:color="auto" w:fill="auto"/>
            <w:noWrap/>
            <w:vAlign w:val="bottom"/>
            <w:hideMark/>
          </w:tcPr>
          <w:p w14:paraId="722B2C6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resolution: Approves the dissolution of the Salt Lake County Justice Court.</w:t>
            </w:r>
          </w:p>
        </w:tc>
      </w:tr>
      <w:tr w:rsidR="00810242" w:rsidRPr="009F145E" w14:paraId="65FA9E88" w14:textId="77777777" w:rsidTr="00F51B0F">
        <w:trPr>
          <w:trHeight w:val="290"/>
          <w:jc w:val="center"/>
        </w:trPr>
        <w:tc>
          <w:tcPr>
            <w:tcW w:w="1173" w:type="dxa"/>
            <w:shd w:val="clear" w:color="auto" w:fill="auto"/>
            <w:noWrap/>
            <w:vAlign w:val="center"/>
            <w:hideMark/>
          </w:tcPr>
          <w:p w14:paraId="01FE9F6A" w14:textId="78FA8F81"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hyperlink r:id="rId63" w:history="1">
              <w:r w:rsidRPr="009F145E">
                <w:rPr>
                  <w:rStyle w:val="Hyperlink"/>
                  <w:rFonts w:ascii="Aptos Narrow" w:eastAsia="Times New Roman" w:hAnsi="Aptos Narrow" w:cs="Times New Roman"/>
                  <w:kern w:val="0"/>
                  <w:sz w:val="22"/>
                  <w:szCs w:val="22"/>
                  <w14:ligatures w14:val="none"/>
                </w:rPr>
                <w:t>SB0152</w:t>
              </w:r>
            </w:hyperlink>
          </w:p>
        </w:tc>
        <w:tc>
          <w:tcPr>
            <w:tcW w:w="3075" w:type="dxa"/>
            <w:shd w:val="clear" w:color="auto" w:fill="auto"/>
            <w:noWrap/>
            <w:vAlign w:val="center"/>
            <w:hideMark/>
          </w:tcPr>
          <w:p w14:paraId="2036466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Local Land Use Regulation Restrictions</w:t>
            </w:r>
          </w:p>
        </w:tc>
        <w:tc>
          <w:tcPr>
            <w:tcW w:w="1195" w:type="dxa"/>
            <w:shd w:val="clear" w:color="auto" w:fill="auto"/>
            <w:noWrap/>
            <w:vAlign w:val="bottom"/>
            <w:hideMark/>
          </w:tcPr>
          <w:p w14:paraId="5D37AD4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BLOUIN</w:t>
            </w:r>
          </w:p>
        </w:tc>
        <w:tc>
          <w:tcPr>
            <w:tcW w:w="9235" w:type="dxa"/>
            <w:shd w:val="clear" w:color="auto" w:fill="auto"/>
            <w:noWrap/>
            <w:vAlign w:val="bottom"/>
            <w:hideMark/>
          </w:tcPr>
          <w:p w14:paraId="3BFFF8D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definition of "building design element"; prohibits a municipality or county from requiring a garage on a one- or two-family dwelling; and makes technical changes.</w:t>
            </w:r>
          </w:p>
        </w:tc>
      </w:tr>
      <w:tr w:rsidR="00F51B0F" w:rsidRPr="009F145E" w14:paraId="7ECD2C76" w14:textId="77777777" w:rsidTr="00285E11">
        <w:trPr>
          <w:trHeight w:val="290"/>
          <w:jc w:val="center"/>
        </w:trPr>
        <w:tc>
          <w:tcPr>
            <w:tcW w:w="1173" w:type="dxa"/>
            <w:shd w:val="clear" w:color="auto" w:fill="F8D8D8"/>
            <w:noWrap/>
            <w:vAlign w:val="center"/>
            <w:hideMark/>
          </w:tcPr>
          <w:p w14:paraId="5AA0B15B" w14:textId="40363736" w:rsidR="00D672A6" w:rsidRPr="00B71BF9" w:rsidRDefault="00D672A6" w:rsidP="00D672A6">
            <w:pPr>
              <w:spacing w:after="0" w:line="240" w:lineRule="auto"/>
              <w:rPr>
                <w:rFonts w:eastAsia="Times New Roman" w:cs="Times New Roman"/>
                <w:color w:val="000000"/>
                <w:kern w:val="0"/>
                <w:sz w:val="22"/>
                <w:szCs w:val="22"/>
                <w14:ligatures w14:val="none"/>
              </w:rPr>
            </w:pPr>
            <w:hyperlink r:id="rId64" w:history="1">
              <w:r w:rsidRPr="00B71BF9">
                <w:rPr>
                  <w:rStyle w:val="Hyperlink"/>
                  <w:rFonts w:eastAsia="Times New Roman" w:cs="Times New Roman"/>
                  <w:kern w:val="0"/>
                  <w:sz w:val="22"/>
                  <w:szCs w:val="22"/>
                  <w14:ligatures w14:val="none"/>
                </w:rPr>
                <w:t>SB181</w:t>
              </w:r>
            </w:hyperlink>
          </w:p>
        </w:tc>
        <w:tc>
          <w:tcPr>
            <w:tcW w:w="3075" w:type="dxa"/>
            <w:shd w:val="clear" w:color="auto" w:fill="F8D8D8"/>
            <w:noWrap/>
            <w:vAlign w:val="center"/>
            <w:hideMark/>
          </w:tcPr>
          <w:p w14:paraId="61C0C3C0" w14:textId="0EA7E8A5" w:rsidR="00D672A6" w:rsidRPr="00B71BF9" w:rsidRDefault="00D672A6" w:rsidP="00D672A6">
            <w:pPr>
              <w:spacing w:after="0" w:line="240" w:lineRule="auto"/>
              <w:rPr>
                <w:rFonts w:eastAsia="Times New Roman" w:cs="Times New Roman"/>
                <w:kern w:val="0"/>
                <w:sz w:val="22"/>
                <w:szCs w:val="22"/>
                <w14:ligatures w14:val="none"/>
              </w:rPr>
            </w:pPr>
            <w:r w:rsidRPr="00B71BF9">
              <w:rPr>
                <w:rFonts w:eastAsia="Times New Roman" w:cs="Times New Roman"/>
                <w:color w:val="000000"/>
                <w:kern w:val="0"/>
                <w:sz w:val="22"/>
                <w:szCs w:val="22"/>
                <w14:ligatures w14:val="none"/>
              </w:rPr>
              <w:t>Housing Affordability Amendments</w:t>
            </w:r>
          </w:p>
        </w:tc>
        <w:tc>
          <w:tcPr>
            <w:tcW w:w="1195" w:type="dxa"/>
            <w:shd w:val="clear" w:color="auto" w:fill="F8D8D8"/>
            <w:noWrap/>
            <w:vAlign w:val="center"/>
            <w:hideMark/>
          </w:tcPr>
          <w:p w14:paraId="3B2298D5" w14:textId="152BE51E" w:rsidR="00D672A6" w:rsidRPr="00B71BF9" w:rsidRDefault="00D672A6" w:rsidP="00D672A6">
            <w:pPr>
              <w:spacing w:after="0" w:line="240" w:lineRule="auto"/>
              <w:rPr>
                <w:rFonts w:eastAsia="Times New Roman" w:cs="Times New Roman"/>
                <w:kern w:val="0"/>
                <w:sz w:val="22"/>
                <w:szCs w:val="22"/>
                <w14:ligatures w14:val="none"/>
              </w:rPr>
            </w:pPr>
            <w:r w:rsidRPr="00B71BF9">
              <w:rPr>
                <w:rFonts w:eastAsia="Times New Roman" w:cs="Times New Roman"/>
                <w:color w:val="000000"/>
                <w:kern w:val="0"/>
                <w:sz w:val="22"/>
                <w:szCs w:val="22"/>
                <w14:ligatures w14:val="none"/>
              </w:rPr>
              <w:t>FILLML</w:t>
            </w:r>
          </w:p>
        </w:tc>
        <w:tc>
          <w:tcPr>
            <w:tcW w:w="9235" w:type="dxa"/>
            <w:shd w:val="clear" w:color="auto" w:fill="F8D8D8"/>
            <w:noWrap/>
            <w:vAlign w:val="bottom"/>
            <w:hideMark/>
          </w:tcPr>
          <w:p w14:paraId="394DF56D" w14:textId="1D31060D" w:rsidR="00D672A6" w:rsidRPr="00B71BF9" w:rsidRDefault="00B71BF9" w:rsidP="00D672A6">
            <w:pPr>
              <w:spacing w:after="0" w:line="240" w:lineRule="auto"/>
              <w:rPr>
                <w:rFonts w:eastAsia="Times New Roman" w:cs="Times New Roman"/>
                <w:kern w:val="0"/>
                <w:sz w:val="22"/>
                <w:szCs w:val="22"/>
                <w14:ligatures w14:val="none"/>
              </w:rPr>
            </w:pPr>
            <w:r w:rsidRPr="00B71BF9">
              <w:rPr>
                <w:rFonts w:eastAsia="Times New Roman" w:cs="Times New Roman"/>
                <w:kern w:val="0"/>
                <w:sz w:val="22"/>
                <w:szCs w:val="22"/>
                <w14:ligatures w14:val="none"/>
              </w:rPr>
              <w:t>This bill:</w:t>
            </w:r>
            <w:r w:rsidRPr="00B71BF9">
              <w:rPr>
                <w:rFonts w:eastAsia="Times New Roman" w:cs="Times New Roman"/>
                <w:kern w:val="0"/>
                <w:sz w:val="22"/>
                <w:szCs w:val="22"/>
                <w14:ligatures w14:val="none"/>
              </w:rPr>
              <w:t xml:space="preserve"> </w:t>
            </w:r>
            <w:r w:rsidRPr="00B71BF9">
              <w:rPr>
                <w:rFonts w:eastAsia="Times New Roman" w:cs="Times New Roman"/>
                <w:kern w:val="0"/>
                <w:sz w:val="22"/>
                <w:szCs w:val="22"/>
                <w14:ligatures w14:val="none"/>
              </w:rPr>
              <w:t>defines and amends terms;</w:t>
            </w:r>
            <w:r w:rsidRPr="00B71BF9">
              <w:rPr>
                <w:rFonts w:eastAsia="Times New Roman" w:cs="Times New Roman"/>
                <w:kern w:val="0"/>
                <w:sz w:val="22"/>
                <w:szCs w:val="22"/>
                <w14:ligatures w14:val="none"/>
              </w:rPr>
              <w:t xml:space="preserve"> </w:t>
            </w:r>
            <w:r w:rsidRPr="00B71BF9">
              <w:rPr>
                <w:rFonts w:eastAsia="Times New Roman" w:cs="Times New Roman"/>
                <w:kern w:val="0"/>
                <w:sz w:val="22"/>
                <w:szCs w:val="22"/>
                <w14:ligatures w14:val="none"/>
              </w:rPr>
              <w:t xml:space="preserve">enacts provisions of municipal land use regulation with regard to certain types of parking </w:t>
            </w:r>
            <w:r w:rsidRPr="00B71BF9">
              <w:rPr>
                <w:rFonts w:eastAsia="Times New Roman" w:cs="Times New Roman"/>
                <w:kern w:val="0"/>
                <w:sz w:val="22"/>
                <w:szCs w:val="22"/>
                <w14:ligatures w14:val="none"/>
              </w:rPr>
              <w:t>spaces; repeals</w:t>
            </w:r>
            <w:r w:rsidRPr="00B71BF9">
              <w:rPr>
                <w:rFonts w:eastAsia="Times New Roman" w:cs="Times New Roman"/>
                <w:kern w:val="0"/>
                <w:sz w:val="22"/>
                <w:szCs w:val="22"/>
                <w14:ligatures w14:val="none"/>
              </w:rPr>
              <w:t xml:space="preserve"> the Olene Walker Housing Loan Fund</w:t>
            </w:r>
            <w:r w:rsidRPr="00B71BF9">
              <w:rPr>
                <w:rFonts w:eastAsia="Times New Roman" w:cs="Times New Roman"/>
                <w:kern w:val="0"/>
                <w:sz w:val="22"/>
                <w:szCs w:val="22"/>
                <w14:ligatures w14:val="none"/>
              </w:rPr>
              <w:t xml:space="preserve"> </w:t>
            </w:r>
            <w:r w:rsidRPr="00B71BF9">
              <w:rPr>
                <w:rFonts w:eastAsia="Times New Roman" w:cs="Times New Roman"/>
                <w:kern w:val="0"/>
                <w:sz w:val="22"/>
                <w:szCs w:val="22"/>
                <w14:ligatures w14:val="none"/>
              </w:rPr>
              <w:t xml:space="preserve">repeals the private activity bond </w:t>
            </w:r>
            <w:r w:rsidRPr="00B71BF9">
              <w:rPr>
                <w:rFonts w:eastAsia="Times New Roman" w:cs="Times New Roman"/>
                <w:kern w:val="0"/>
                <w:sz w:val="22"/>
                <w:szCs w:val="22"/>
                <w14:ligatures w14:val="none"/>
              </w:rPr>
              <w:t>program; creates</w:t>
            </w:r>
            <w:r w:rsidRPr="00B71BF9">
              <w:rPr>
                <w:rFonts w:eastAsia="Times New Roman" w:cs="Times New Roman"/>
                <w:kern w:val="0"/>
                <w:sz w:val="22"/>
                <w:szCs w:val="22"/>
                <w14:ligatures w14:val="none"/>
              </w:rPr>
              <w:t xml:space="preserve"> the Olene Walker State Housing Fund  from the Olene Walker Housing Loan Fund and private activity bond program to consolidate administration of funds allocated for affordable housing across the </w:t>
            </w:r>
            <w:r w:rsidRPr="00B71BF9">
              <w:rPr>
                <w:rFonts w:eastAsia="Times New Roman" w:cs="Times New Roman"/>
                <w:kern w:val="0"/>
                <w:sz w:val="22"/>
                <w:szCs w:val="22"/>
                <w14:ligatures w14:val="none"/>
              </w:rPr>
              <w:t>state; provides</w:t>
            </w:r>
            <w:r w:rsidRPr="00B71BF9">
              <w:rPr>
                <w:rFonts w:eastAsia="Times New Roman" w:cs="Times New Roman"/>
                <w:kern w:val="0"/>
                <w:sz w:val="22"/>
                <w:szCs w:val="22"/>
                <w14:ligatures w14:val="none"/>
              </w:rPr>
              <w:t xml:space="preserve"> exceptions; and makes technical and conforming changes.</w:t>
            </w:r>
          </w:p>
        </w:tc>
      </w:tr>
      <w:tr w:rsidR="00D672A6" w:rsidRPr="009F145E" w14:paraId="532482DA" w14:textId="77777777" w:rsidTr="00285E11">
        <w:trPr>
          <w:trHeight w:val="290"/>
          <w:jc w:val="center"/>
        </w:trPr>
        <w:tc>
          <w:tcPr>
            <w:tcW w:w="1173" w:type="dxa"/>
            <w:shd w:val="clear" w:color="auto" w:fill="auto"/>
            <w:noWrap/>
            <w:vAlign w:val="center"/>
            <w:hideMark/>
          </w:tcPr>
          <w:p w14:paraId="202FB137" w14:textId="772B521D" w:rsidR="00D672A6" w:rsidRPr="00B71BF9" w:rsidRDefault="003A397D" w:rsidP="00D672A6">
            <w:pPr>
              <w:spacing w:after="0" w:line="240" w:lineRule="auto"/>
              <w:rPr>
                <w:rFonts w:eastAsia="Times New Roman" w:cs="Times New Roman"/>
                <w:kern w:val="0"/>
                <w:sz w:val="22"/>
                <w:szCs w:val="22"/>
                <w14:ligatures w14:val="none"/>
              </w:rPr>
            </w:pPr>
            <w:hyperlink r:id="rId65" w:history="1">
              <w:r w:rsidR="00B71BF9" w:rsidRPr="00B71BF9">
                <w:rPr>
                  <w:rStyle w:val="Hyperlink"/>
                  <w:rFonts w:eastAsia="Times New Roman" w:cs="Times New Roman"/>
                  <w:kern w:val="0"/>
                  <w:sz w:val="22"/>
                  <w:szCs w:val="22"/>
                  <w14:ligatures w14:val="none"/>
                </w:rPr>
                <w:t>SB0182</w:t>
              </w:r>
            </w:hyperlink>
          </w:p>
        </w:tc>
        <w:tc>
          <w:tcPr>
            <w:tcW w:w="3075" w:type="dxa"/>
            <w:shd w:val="clear" w:color="auto" w:fill="auto"/>
            <w:noWrap/>
            <w:vAlign w:val="center"/>
            <w:hideMark/>
          </w:tcPr>
          <w:p w14:paraId="60AE58AE" w14:textId="3C411194" w:rsidR="00D672A6" w:rsidRPr="009F145E" w:rsidRDefault="00F51B0F" w:rsidP="00D672A6">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Homeless Services Modifications</w:t>
            </w:r>
          </w:p>
        </w:tc>
        <w:tc>
          <w:tcPr>
            <w:tcW w:w="1195" w:type="dxa"/>
            <w:shd w:val="clear" w:color="auto" w:fill="auto"/>
            <w:noWrap/>
            <w:vAlign w:val="center"/>
            <w:hideMark/>
          </w:tcPr>
          <w:p w14:paraId="1B8CF2EA" w14:textId="73A54CC1" w:rsidR="00D672A6" w:rsidRPr="009F145E" w:rsidRDefault="00F51B0F" w:rsidP="00D672A6">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WEILET</w:t>
            </w:r>
          </w:p>
        </w:tc>
        <w:tc>
          <w:tcPr>
            <w:tcW w:w="9235" w:type="dxa"/>
            <w:shd w:val="clear" w:color="auto" w:fill="auto"/>
            <w:noWrap/>
            <w:vAlign w:val="bottom"/>
            <w:hideMark/>
          </w:tcPr>
          <w:p w14:paraId="784DA663" w14:textId="4102508F" w:rsidR="00F51B0F" w:rsidRDefault="00F51B0F" w:rsidP="00F51B0F">
            <w:pPr>
              <w:spacing w:line="240" w:lineRule="auto"/>
              <w:rPr>
                <w:rFonts w:ascii="Aptos Narrow" w:hAnsi="Aptos Narrow"/>
                <w:color w:val="000000"/>
                <w:sz w:val="22"/>
                <w:szCs w:val="22"/>
              </w:rPr>
            </w:pPr>
            <w:r>
              <w:rPr>
                <w:rFonts w:ascii="Aptos Narrow" w:hAnsi="Aptos Narrow"/>
                <w:color w:val="000000"/>
                <w:sz w:val="22"/>
                <w:szCs w:val="22"/>
              </w:rPr>
              <w:t>This bill:</w:t>
            </w:r>
            <w:r>
              <w:rPr>
                <w:rFonts w:ascii="Aptos Narrow" w:hAnsi="Aptos Narrow"/>
                <w:color w:val="000000"/>
                <w:sz w:val="22"/>
                <w:szCs w:val="22"/>
              </w:rPr>
              <w:t xml:space="preserve"> </w:t>
            </w:r>
            <w:r>
              <w:rPr>
                <w:rFonts w:ascii="Aptos Narrow" w:hAnsi="Aptos Narrow"/>
                <w:color w:val="000000"/>
                <w:sz w:val="22"/>
                <w:szCs w:val="22"/>
              </w:rPr>
              <w:t xml:space="preserve">requires the Department of Health and Human Services to issue a </w:t>
            </w:r>
            <w:proofErr w:type="gramStart"/>
            <w:r w:rsidRPr="00F51B0F">
              <w:rPr>
                <w:rFonts w:ascii="Aptos Narrow" w:hAnsi="Aptos Narrow"/>
                <w:color w:val="FF0000"/>
                <w:sz w:val="22"/>
                <w:szCs w:val="22"/>
              </w:rPr>
              <w:t>code red alert</w:t>
            </w:r>
            <w:proofErr w:type="gramEnd"/>
            <w:r w:rsidRPr="00F51B0F">
              <w:rPr>
                <w:rFonts w:ascii="Aptos Narrow" w:hAnsi="Aptos Narrow"/>
                <w:color w:val="FF0000"/>
                <w:sz w:val="22"/>
                <w:szCs w:val="22"/>
              </w:rPr>
              <w:t xml:space="preserve"> </w:t>
            </w:r>
            <w:r>
              <w:rPr>
                <w:rFonts w:ascii="Aptos Narrow" w:hAnsi="Aptos Narrow"/>
                <w:color w:val="000000"/>
                <w:sz w:val="22"/>
                <w:szCs w:val="22"/>
              </w:rPr>
              <w:t>for certain weather events that may pose a danger to individuals experiencing homelessness;</w:t>
            </w:r>
            <w:r>
              <w:rPr>
                <w:rFonts w:ascii="Aptos Narrow" w:hAnsi="Aptos Narrow"/>
                <w:color w:val="000000"/>
                <w:sz w:val="22"/>
                <w:szCs w:val="22"/>
              </w:rPr>
              <w:t xml:space="preserve"> </w:t>
            </w:r>
            <w:r>
              <w:rPr>
                <w:rFonts w:ascii="Aptos Narrow" w:hAnsi="Aptos Narrow"/>
                <w:color w:val="000000"/>
                <w:sz w:val="22"/>
                <w:szCs w:val="22"/>
              </w:rPr>
              <w:t>provides for certain requirements and limitations to take effect within a county that is impacted by a code red alert; and</w:t>
            </w:r>
            <w:r>
              <w:rPr>
                <w:rFonts w:ascii="Aptos Narrow" w:hAnsi="Aptos Narrow"/>
                <w:color w:val="000000"/>
                <w:sz w:val="22"/>
                <w:szCs w:val="22"/>
              </w:rPr>
              <w:t xml:space="preserve"> </w:t>
            </w:r>
            <w:r>
              <w:rPr>
                <w:rFonts w:ascii="Aptos Narrow" w:hAnsi="Aptos Narrow"/>
                <w:color w:val="000000"/>
                <w:sz w:val="22"/>
                <w:szCs w:val="22"/>
              </w:rPr>
              <w:t>makes technical and conforming changes.</w:t>
            </w:r>
          </w:p>
          <w:p w14:paraId="094FBD79" w14:textId="77777777" w:rsidR="00D672A6" w:rsidRPr="009F145E" w:rsidRDefault="00D672A6" w:rsidP="00F51B0F">
            <w:pPr>
              <w:spacing w:after="0" w:line="240" w:lineRule="auto"/>
              <w:rPr>
                <w:rFonts w:ascii="Times New Roman" w:eastAsia="Times New Roman" w:hAnsi="Times New Roman" w:cs="Times New Roman"/>
                <w:kern w:val="0"/>
                <w:sz w:val="20"/>
                <w:szCs w:val="20"/>
                <w14:ligatures w14:val="none"/>
              </w:rPr>
            </w:pPr>
          </w:p>
        </w:tc>
      </w:tr>
      <w:tr w:rsidR="00B71BF9" w:rsidRPr="009F145E" w14:paraId="13ED2CF3" w14:textId="77777777" w:rsidTr="00285E11">
        <w:trPr>
          <w:trHeight w:val="290"/>
          <w:jc w:val="center"/>
        </w:trPr>
        <w:tc>
          <w:tcPr>
            <w:tcW w:w="1173" w:type="dxa"/>
            <w:shd w:val="clear" w:color="auto" w:fill="C1F0C7" w:themeFill="accent3" w:themeFillTint="33"/>
            <w:noWrap/>
            <w:vAlign w:val="center"/>
          </w:tcPr>
          <w:p w14:paraId="3D0AB47A" w14:textId="6087ECF1" w:rsidR="00B71BF9" w:rsidRPr="00B71BF9" w:rsidRDefault="003A397D" w:rsidP="00D672A6">
            <w:pPr>
              <w:spacing w:after="0" w:line="240" w:lineRule="auto"/>
              <w:rPr>
                <w:rFonts w:eastAsia="Times New Roman" w:cs="Times New Roman"/>
                <w:kern w:val="0"/>
                <w:sz w:val="22"/>
                <w:szCs w:val="22"/>
                <w14:ligatures w14:val="none"/>
              </w:rPr>
            </w:pPr>
            <w:hyperlink r:id="rId66" w:history="1">
              <w:r w:rsidR="00B71BF9" w:rsidRPr="003A397D">
                <w:rPr>
                  <w:rStyle w:val="Hyperlink"/>
                  <w:rFonts w:eastAsia="Times New Roman" w:cs="Times New Roman"/>
                  <w:kern w:val="0"/>
                  <w:sz w:val="22"/>
                  <w:szCs w:val="22"/>
                  <w14:ligatures w14:val="none"/>
                </w:rPr>
                <w:t>SB0183</w:t>
              </w:r>
            </w:hyperlink>
          </w:p>
        </w:tc>
        <w:tc>
          <w:tcPr>
            <w:tcW w:w="3075" w:type="dxa"/>
            <w:shd w:val="clear" w:color="auto" w:fill="C1F0C7" w:themeFill="accent3" w:themeFillTint="33"/>
            <w:noWrap/>
            <w:vAlign w:val="center"/>
          </w:tcPr>
          <w:p w14:paraId="5EBA8A0E" w14:textId="1F3CE866" w:rsidR="00B71BF9" w:rsidRPr="009F145E" w:rsidRDefault="00F51B0F" w:rsidP="00D672A6">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Inmate Amendments</w:t>
            </w:r>
          </w:p>
        </w:tc>
        <w:tc>
          <w:tcPr>
            <w:tcW w:w="1195" w:type="dxa"/>
            <w:shd w:val="clear" w:color="auto" w:fill="C1F0C7" w:themeFill="accent3" w:themeFillTint="33"/>
            <w:noWrap/>
            <w:vAlign w:val="center"/>
          </w:tcPr>
          <w:p w14:paraId="354F1DD8" w14:textId="5E991560" w:rsidR="00B71BF9" w:rsidRPr="009F145E" w:rsidRDefault="00F51B0F" w:rsidP="00D672A6">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PITCHS</w:t>
            </w:r>
          </w:p>
        </w:tc>
        <w:tc>
          <w:tcPr>
            <w:tcW w:w="9235" w:type="dxa"/>
            <w:shd w:val="clear" w:color="auto" w:fill="C1F0C7" w:themeFill="accent3" w:themeFillTint="33"/>
            <w:noWrap/>
            <w:vAlign w:val="bottom"/>
          </w:tcPr>
          <w:p w14:paraId="2BEE3C77" w14:textId="2E569529" w:rsidR="00F51B0F" w:rsidRDefault="00F51B0F" w:rsidP="00F51B0F">
            <w:pPr>
              <w:spacing w:line="240" w:lineRule="auto"/>
              <w:rPr>
                <w:rFonts w:ascii="Aptos Narrow" w:hAnsi="Aptos Narrow"/>
                <w:color w:val="000000"/>
                <w:sz w:val="22"/>
                <w:szCs w:val="22"/>
              </w:rPr>
            </w:pPr>
            <w:r>
              <w:rPr>
                <w:rFonts w:ascii="Aptos Narrow" w:hAnsi="Aptos Narrow"/>
                <w:color w:val="000000"/>
                <w:sz w:val="22"/>
                <w:szCs w:val="22"/>
              </w:rPr>
              <w:t>This bill:</w:t>
            </w:r>
            <w:r>
              <w:rPr>
                <w:rFonts w:ascii="Aptos Narrow" w:hAnsi="Aptos Narrow"/>
                <w:color w:val="000000"/>
                <w:sz w:val="22"/>
                <w:szCs w:val="22"/>
              </w:rPr>
              <w:t xml:space="preserve"> </w:t>
            </w:r>
            <w:r>
              <w:rPr>
                <w:rFonts w:ascii="Aptos Narrow" w:hAnsi="Aptos Narrow"/>
                <w:color w:val="000000"/>
                <w:sz w:val="22"/>
                <w:szCs w:val="22"/>
              </w:rPr>
              <w:t>requires the Department of Corrections to provide an optional financial literacy class for inmates; and</w:t>
            </w:r>
            <w:r>
              <w:rPr>
                <w:rFonts w:ascii="Aptos Narrow" w:hAnsi="Aptos Narrow"/>
                <w:color w:val="000000"/>
                <w:sz w:val="22"/>
                <w:szCs w:val="22"/>
              </w:rPr>
              <w:t xml:space="preserve"> </w:t>
            </w:r>
            <w:r>
              <w:rPr>
                <w:rFonts w:ascii="Aptos Narrow" w:hAnsi="Aptos Narrow"/>
                <w:color w:val="000000"/>
                <w:sz w:val="22"/>
                <w:szCs w:val="22"/>
              </w:rPr>
              <w:t>makes technical and conforming changes.</w:t>
            </w:r>
          </w:p>
          <w:p w14:paraId="3738AA61" w14:textId="77777777" w:rsidR="00B71BF9" w:rsidRPr="009F145E" w:rsidRDefault="00B71BF9" w:rsidP="00F51B0F">
            <w:pPr>
              <w:spacing w:after="0" w:line="240" w:lineRule="auto"/>
              <w:rPr>
                <w:rFonts w:ascii="Times New Roman" w:eastAsia="Times New Roman" w:hAnsi="Times New Roman" w:cs="Times New Roman"/>
                <w:kern w:val="0"/>
                <w:sz w:val="20"/>
                <w:szCs w:val="20"/>
                <w14:ligatures w14:val="none"/>
              </w:rPr>
            </w:pPr>
          </w:p>
        </w:tc>
      </w:tr>
      <w:tr w:rsidR="00F51B0F" w:rsidRPr="009F145E" w14:paraId="237FE103" w14:textId="77777777" w:rsidTr="00285E11">
        <w:trPr>
          <w:trHeight w:val="290"/>
          <w:jc w:val="center"/>
        </w:trPr>
        <w:tc>
          <w:tcPr>
            <w:tcW w:w="1173" w:type="dxa"/>
            <w:shd w:val="clear" w:color="auto" w:fill="D9F2D0" w:themeFill="accent6" w:themeFillTint="33"/>
            <w:noWrap/>
            <w:vAlign w:val="center"/>
          </w:tcPr>
          <w:p w14:paraId="6C6E99C5" w14:textId="54FEB4DC" w:rsidR="00F51B0F" w:rsidRPr="00B71BF9" w:rsidRDefault="003A397D" w:rsidP="00F51B0F">
            <w:pPr>
              <w:spacing w:after="0" w:line="240" w:lineRule="auto"/>
              <w:rPr>
                <w:rFonts w:eastAsia="Times New Roman" w:cs="Times New Roman"/>
                <w:kern w:val="0"/>
                <w:sz w:val="22"/>
                <w:szCs w:val="22"/>
                <w14:ligatures w14:val="none"/>
              </w:rPr>
            </w:pPr>
            <w:hyperlink r:id="rId67" w:history="1">
              <w:r w:rsidR="00F51B0F" w:rsidRPr="003A397D">
                <w:rPr>
                  <w:rStyle w:val="Hyperlink"/>
                  <w:rFonts w:eastAsia="Times New Roman" w:cs="Times New Roman"/>
                  <w:kern w:val="0"/>
                  <w:sz w:val="22"/>
                  <w:szCs w:val="22"/>
                  <w14:ligatures w14:val="none"/>
                </w:rPr>
                <w:t>SB0189</w:t>
              </w:r>
            </w:hyperlink>
          </w:p>
          <w:p w14:paraId="70AB69B2" w14:textId="68580FC6" w:rsidR="00F51B0F" w:rsidRPr="00B71BF9" w:rsidRDefault="00F51B0F" w:rsidP="00F51B0F">
            <w:pPr>
              <w:spacing w:after="0" w:line="240" w:lineRule="auto"/>
              <w:rPr>
                <w:rFonts w:eastAsia="Times New Roman" w:cs="Times New Roman"/>
                <w:kern w:val="0"/>
                <w:sz w:val="22"/>
                <w:szCs w:val="22"/>
                <w14:ligatures w14:val="none"/>
              </w:rPr>
            </w:pPr>
          </w:p>
        </w:tc>
        <w:tc>
          <w:tcPr>
            <w:tcW w:w="3075" w:type="dxa"/>
            <w:shd w:val="clear" w:color="auto" w:fill="D9F2D0" w:themeFill="accent6" w:themeFillTint="33"/>
            <w:noWrap/>
            <w:vAlign w:val="center"/>
          </w:tcPr>
          <w:p w14:paraId="7B02B76A" w14:textId="41F758F8"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Child Care Services Amendments</w:t>
            </w:r>
          </w:p>
        </w:tc>
        <w:tc>
          <w:tcPr>
            <w:tcW w:w="1195" w:type="dxa"/>
            <w:shd w:val="clear" w:color="auto" w:fill="D9F2D0" w:themeFill="accent6" w:themeFillTint="33"/>
            <w:noWrap/>
            <w:vAlign w:val="center"/>
          </w:tcPr>
          <w:p w14:paraId="17330584" w14:textId="77777777"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r w:rsidRPr="00F51B0F">
              <w:rPr>
                <w:rFonts w:ascii="Aptos Narrow" w:eastAsia="Times New Roman" w:hAnsi="Aptos Narrow" w:cs="Times New Roman"/>
                <w:color w:val="000000"/>
                <w:kern w:val="0"/>
                <w:sz w:val="22"/>
                <w:szCs w:val="22"/>
                <w14:ligatures w14:val="none"/>
              </w:rPr>
              <w:t>ESCAML</w:t>
            </w:r>
          </w:p>
          <w:p w14:paraId="32435120" w14:textId="77777777"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p>
        </w:tc>
        <w:tc>
          <w:tcPr>
            <w:tcW w:w="9235" w:type="dxa"/>
            <w:shd w:val="clear" w:color="auto" w:fill="D9F2D0" w:themeFill="accent6" w:themeFillTint="33"/>
            <w:noWrap/>
            <w:vAlign w:val="bottom"/>
          </w:tcPr>
          <w:p w14:paraId="07A9D23D" w14:textId="40AE67B0" w:rsidR="00F51B0F" w:rsidRDefault="00F51B0F" w:rsidP="00F51B0F">
            <w:pPr>
              <w:spacing w:line="240" w:lineRule="auto"/>
              <w:rPr>
                <w:rFonts w:ascii="Aptos Narrow" w:hAnsi="Aptos Narrow"/>
                <w:color w:val="000000"/>
                <w:sz w:val="22"/>
                <w:szCs w:val="22"/>
              </w:rPr>
            </w:pPr>
            <w:r>
              <w:rPr>
                <w:rFonts w:ascii="Aptos Narrow" w:hAnsi="Aptos Narrow"/>
                <w:color w:val="000000"/>
                <w:sz w:val="22"/>
                <w:szCs w:val="22"/>
              </w:rPr>
              <w:t>This bill:</w:t>
            </w:r>
            <w:r>
              <w:rPr>
                <w:rFonts w:ascii="Aptos Narrow" w:hAnsi="Aptos Narrow"/>
                <w:color w:val="000000"/>
                <w:sz w:val="22"/>
                <w:szCs w:val="22"/>
              </w:rPr>
              <w:t xml:space="preserve"> </w:t>
            </w:r>
            <w:r>
              <w:rPr>
                <w:rFonts w:ascii="Aptos Narrow" w:hAnsi="Aptos Narrow"/>
                <w:color w:val="000000"/>
                <w:sz w:val="22"/>
                <w:szCs w:val="22"/>
              </w:rPr>
              <w:t xml:space="preserve">defines </w:t>
            </w:r>
            <w:proofErr w:type="gramStart"/>
            <w:r>
              <w:rPr>
                <w:rFonts w:ascii="Aptos Narrow" w:hAnsi="Aptos Narrow"/>
                <w:color w:val="000000"/>
                <w:sz w:val="22"/>
                <w:szCs w:val="22"/>
              </w:rPr>
              <w:t>terms</w:t>
            </w:r>
            <w:proofErr w:type="gramEnd"/>
            <w:r>
              <w:rPr>
                <w:rFonts w:ascii="Aptos Narrow" w:hAnsi="Aptos Narrow"/>
                <w:color w:val="000000"/>
                <w:sz w:val="22"/>
                <w:szCs w:val="22"/>
              </w:rPr>
              <w:t>;</w:t>
            </w:r>
            <w:r>
              <w:rPr>
                <w:rFonts w:ascii="Aptos Narrow" w:hAnsi="Aptos Narrow"/>
                <w:color w:val="000000"/>
                <w:sz w:val="22"/>
                <w:szCs w:val="22"/>
              </w:rPr>
              <w:t xml:space="preserve"> </w:t>
            </w:r>
            <w:r>
              <w:rPr>
                <w:rFonts w:ascii="Aptos Narrow" w:hAnsi="Aptos Narrow"/>
                <w:color w:val="000000"/>
                <w:sz w:val="22"/>
                <w:szCs w:val="22"/>
              </w:rPr>
              <w:t>creates the Child Care Capacity Expansion Act (act);</w:t>
            </w:r>
            <w:r>
              <w:rPr>
                <w:rFonts w:ascii="Aptos Narrow" w:hAnsi="Aptos Narrow"/>
                <w:color w:val="000000"/>
                <w:sz w:val="22"/>
                <w:szCs w:val="22"/>
              </w:rPr>
              <w:t xml:space="preserve"> </w:t>
            </w:r>
            <w:r>
              <w:rPr>
                <w:rFonts w:ascii="Aptos Narrow" w:hAnsi="Aptos Narrow"/>
                <w:color w:val="000000"/>
                <w:sz w:val="22"/>
                <w:szCs w:val="22"/>
              </w:rPr>
              <w:t>describes the purpose of the act;</w:t>
            </w:r>
            <w:r>
              <w:rPr>
                <w:rFonts w:ascii="Aptos Narrow" w:hAnsi="Aptos Narrow"/>
                <w:color w:val="000000"/>
                <w:sz w:val="22"/>
                <w:szCs w:val="22"/>
              </w:rPr>
              <w:t xml:space="preserve"> </w:t>
            </w:r>
            <w:r>
              <w:rPr>
                <w:rFonts w:ascii="Aptos Narrow" w:hAnsi="Aptos Narrow"/>
                <w:color w:val="000000"/>
                <w:sz w:val="22"/>
                <w:szCs w:val="22"/>
              </w:rPr>
              <w:t xml:space="preserve">directs certain state departments to collaborate on implementing the act; provides for certain limitations on liability from operations of an expanded </w:t>
            </w:r>
            <w:proofErr w:type="gramStart"/>
            <w:r>
              <w:rPr>
                <w:rFonts w:ascii="Aptos Narrow" w:hAnsi="Aptos Narrow"/>
                <w:color w:val="000000"/>
                <w:sz w:val="22"/>
                <w:szCs w:val="22"/>
              </w:rPr>
              <w:t>child care</w:t>
            </w:r>
            <w:proofErr w:type="gramEnd"/>
            <w:r>
              <w:rPr>
                <w:rFonts w:ascii="Aptos Narrow" w:hAnsi="Aptos Narrow"/>
                <w:color w:val="000000"/>
                <w:sz w:val="22"/>
                <w:szCs w:val="22"/>
              </w:rPr>
              <w:t xml:space="preserve"> facility; and</w:t>
            </w:r>
            <w:r>
              <w:rPr>
                <w:rFonts w:ascii="Aptos Narrow" w:hAnsi="Aptos Narrow"/>
                <w:color w:val="000000"/>
                <w:sz w:val="22"/>
                <w:szCs w:val="22"/>
              </w:rPr>
              <w:t xml:space="preserve"> </w:t>
            </w:r>
            <w:r>
              <w:rPr>
                <w:rFonts w:ascii="Aptos Narrow" w:hAnsi="Aptos Narrow"/>
                <w:color w:val="000000"/>
                <w:sz w:val="22"/>
                <w:szCs w:val="22"/>
              </w:rPr>
              <w:t>requires an annual report to certain legislative committees.</w:t>
            </w:r>
          </w:p>
          <w:p w14:paraId="5B8BF697" w14:textId="77777777"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p>
        </w:tc>
      </w:tr>
      <w:tr w:rsidR="00F51B0F" w:rsidRPr="009F145E" w14:paraId="6FA87C5C" w14:textId="77777777" w:rsidTr="00285E11">
        <w:trPr>
          <w:trHeight w:val="290"/>
          <w:jc w:val="center"/>
        </w:trPr>
        <w:tc>
          <w:tcPr>
            <w:tcW w:w="1173" w:type="dxa"/>
            <w:shd w:val="clear" w:color="auto" w:fill="F8D8D8"/>
            <w:noWrap/>
            <w:vAlign w:val="center"/>
          </w:tcPr>
          <w:p w14:paraId="7D2D4C68" w14:textId="31093135" w:rsidR="00F51B0F" w:rsidRPr="00B71BF9" w:rsidRDefault="003A397D" w:rsidP="00F51B0F">
            <w:pPr>
              <w:spacing w:after="0" w:line="240" w:lineRule="auto"/>
              <w:rPr>
                <w:rFonts w:eastAsia="Times New Roman" w:cs="Times New Roman"/>
                <w:kern w:val="0"/>
                <w:sz w:val="22"/>
                <w:szCs w:val="22"/>
                <w14:ligatures w14:val="none"/>
              </w:rPr>
            </w:pPr>
            <w:hyperlink r:id="rId68" w:history="1">
              <w:r w:rsidR="00F51B0F" w:rsidRPr="003A397D">
                <w:rPr>
                  <w:rStyle w:val="Hyperlink"/>
                  <w:rFonts w:eastAsia="Times New Roman" w:cs="Times New Roman"/>
                  <w:kern w:val="0"/>
                  <w:sz w:val="22"/>
                  <w:szCs w:val="22"/>
                  <w14:ligatures w14:val="none"/>
                </w:rPr>
                <w:t>SB0197</w:t>
              </w:r>
            </w:hyperlink>
          </w:p>
        </w:tc>
        <w:tc>
          <w:tcPr>
            <w:tcW w:w="3075" w:type="dxa"/>
            <w:shd w:val="clear" w:color="auto" w:fill="F8D8D8"/>
            <w:noWrap/>
            <w:vAlign w:val="center"/>
          </w:tcPr>
          <w:p w14:paraId="4DD922C6" w14:textId="1F86DCDB"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Property Tax Amendments</w:t>
            </w:r>
          </w:p>
        </w:tc>
        <w:tc>
          <w:tcPr>
            <w:tcW w:w="1195" w:type="dxa"/>
            <w:shd w:val="clear" w:color="auto" w:fill="F8D8D8"/>
            <w:noWrap/>
            <w:vAlign w:val="center"/>
          </w:tcPr>
          <w:p w14:paraId="1E17DC79" w14:textId="431E8784"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r w:rsidRPr="00F51B0F">
              <w:rPr>
                <w:rFonts w:ascii="Aptos Narrow" w:eastAsia="Times New Roman" w:hAnsi="Aptos Narrow" w:cs="Times New Roman"/>
                <w:color w:val="000000"/>
                <w:kern w:val="0"/>
                <w:sz w:val="22"/>
                <w:szCs w:val="22"/>
                <w14:ligatures w14:val="none"/>
              </w:rPr>
              <w:t>MCCAYD</w:t>
            </w:r>
          </w:p>
        </w:tc>
        <w:tc>
          <w:tcPr>
            <w:tcW w:w="9235" w:type="dxa"/>
            <w:shd w:val="clear" w:color="auto" w:fill="F8D8D8"/>
            <w:noWrap/>
            <w:vAlign w:val="bottom"/>
          </w:tcPr>
          <w:p w14:paraId="56EA0781" w14:textId="3251CA2B" w:rsidR="00F51B0F" w:rsidRDefault="00F51B0F" w:rsidP="00F51B0F">
            <w:pPr>
              <w:spacing w:line="240" w:lineRule="auto"/>
              <w:rPr>
                <w:rFonts w:ascii="Aptos Narrow" w:hAnsi="Aptos Narrow"/>
                <w:color w:val="000000"/>
                <w:sz w:val="22"/>
                <w:szCs w:val="22"/>
              </w:rPr>
            </w:pPr>
            <w:r>
              <w:rPr>
                <w:rFonts w:ascii="Aptos Narrow" w:hAnsi="Aptos Narrow"/>
                <w:color w:val="000000"/>
                <w:sz w:val="22"/>
                <w:szCs w:val="22"/>
              </w:rPr>
              <w:t>This bill:</w:t>
            </w:r>
            <w:r w:rsidR="00285E11">
              <w:rPr>
                <w:rFonts w:ascii="Aptos Narrow" w:hAnsi="Aptos Narrow"/>
                <w:color w:val="000000"/>
                <w:sz w:val="22"/>
                <w:szCs w:val="22"/>
              </w:rPr>
              <w:t xml:space="preserve"> </w:t>
            </w:r>
            <w:r>
              <w:rPr>
                <w:rFonts w:ascii="Aptos Narrow" w:hAnsi="Aptos Narrow"/>
                <w:color w:val="000000"/>
                <w:sz w:val="22"/>
                <w:szCs w:val="22"/>
              </w:rPr>
              <w:t>defines terms;</w:t>
            </w:r>
            <w:r w:rsidR="00285E11">
              <w:rPr>
                <w:rFonts w:ascii="Aptos Narrow" w:hAnsi="Aptos Narrow"/>
                <w:color w:val="000000"/>
                <w:sz w:val="22"/>
                <w:szCs w:val="22"/>
              </w:rPr>
              <w:t xml:space="preserve"> </w:t>
            </w:r>
            <w:r>
              <w:rPr>
                <w:rFonts w:ascii="Aptos Narrow" w:hAnsi="Aptos Narrow"/>
                <w:color w:val="000000"/>
                <w:sz w:val="22"/>
                <w:szCs w:val="22"/>
              </w:rPr>
              <w:t>provides for annual reductions to the maximum amount available for the taxpayer relief known as the homeowner's credit;</w:t>
            </w:r>
            <w:r w:rsidR="00285E11">
              <w:rPr>
                <w:rFonts w:ascii="Aptos Narrow" w:hAnsi="Aptos Narrow"/>
                <w:color w:val="000000"/>
                <w:sz w:val="22"/>
                <w:szCs w:val="22"/>
              </w:rPr>
              <w:t xml:space="preserve"> </w:t>
            </w:r>
            <w:r>
              <w:rPr>
                <w:rFonts w:ascii="Aptos Narrow" w:hAnsi="Aptos Narrow"/>
                <w:color w:val="000000"/>
                <w:sz w:val="22"/>
                <w:szCs w:val="22"/>
              </w:rPr>
              <w:t>prohibits taxpayers from receiving a homeowner's credit beginning in 2030;</w:t>
            </w:r>
            <w:r w:rsidR="00285E11">
              <w:rPr>
                <w:rFonts w:ascii="Aptos Narrow" w:hAnsi="Aptos Narrow"/>
                <w:color w:val="000000"/>
                <w:sz w:val="22"/>
                <w:szCs w:val="22"/>
              </w:rPr>
              <w:t xml:space="preserve"> </w:t>
            </w:r>
            <w:r>
              <w:rPr>
                <w:rFonts w:ascii="Aptos Narrow" w:hAnsi="Aptos Narrow"/>
                <w:color w:val="000000"/>
                <w:sz w:val="22"/>
                <w:szCs w:val="22"/>
              </w:rPr>
              <w:t>requires a county auditor to include information on the property tax valuation notice regarding the availability of property tax deferral programs in lieu of the homeowner's credit; and</w:t>
            </w:r>
            <w:r w:rsidR="00285E11">
              <w:rPr>
                <w:rFonts w:ascii="Aptos Narrow" w:hAnsi="Aptos Narrow"/>
                <w:color w:val="000000"/>
                <w:sz w:val="22"/>
                <w:szCs w:val="22"/>
              </w:rPr>
              <w:t xml:space="preserve"> </w:t>
            </w:r>
            <w:r>
              <w:rPr>
                <w:rFonts w:ascii="Aptos Narrow" w:hAnsi="Aptos Narrow"/>
                <w:color w:val="000000"/>
                <w:sz w:val="22"/>
                <w:szCs w:val="22"/>
              </w:rPr>
              <w:t>makes technical and conforming changes.</w:t>
            </w:r>
          </w:p>
          <w:p w14:paraId="1471DFEE" w14:textId="77777777"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p>
        </w:tc>
      </w:tr>
      <w:tr w:rsidR="00F51B0F" w:rsidRPr="009F145E" w14:paraId="7104D11D" w14:textId="77777777" w:rsidTr="00F51B0F">
        <w:trPr>
          <w:trHeight w:val="290"/>
          <w:jc w:val="center"/>
        </w:trPr>
        <w:tc>
          <w:tcPr>
            <w:tcW w:w="1173" w:type="dxa"/>
            <w:shd w:val="clear" w:color="auto" w:fill="auto"/>
            <w:noWrap/>
            <w:vAlign w:val="center"/>
            <w:hideMark/>
          </w:tcPr>
          <w:p w14:paraId="3ABCD25E" w14:textId="658266C5" w:rsidR="00F51B0F" w:rsidRPr="00B71BF9" w:rsidRDefault="003A397D" w:rsidP="00F51B0F">
            <w:pPr>
              <w:spacing w:after="0" w:line="240" w:lineRule="auto"/>
              <w:rPr>
                <w:rFonts w:eastAsia="Times New Roman" w:cs="Times New Roman"/>
                <w:kern w:val="0"/>
                <w:sz w:val="22"/>
                <w:szCs w:val="22"/>
                <w14:ligatures w14:val="none"/>
              </w:rPr>
            </w:pPr>
            <w:hyperlink r:id="rId69" w:history="1">
              <w:r w:rsidR="00F51B0F" w:rsidRPr="003A397D">
                <w:rPr>
                  <w:rStyle w:val="Hyperlink"/>
                  <w:rFonts w:eastAsia="Times New Roman" w:cs="Times New Roman"/>
                  <w:kern w:val="0"/>
                  <w:sz w:val="22"/>
                  <w:szCs w:val="22"/>
                  <w14:ligatures w14:val="none"/>
                </w:rPr>
                <w:t>SB0201</w:t>
              </w:r>
            </w:hyperlink>
          </w:p>
        </w:tc>
        <w:tc>
          <w:tcPr>
            <w:tcW w:w="3075" w:type="dxa"/>
            <w:shd w:val="clear" w:color="auto" w:fill="auto"/>
            <w:noWrap/>
            <w:vAlign w:val="center"/>
          </w:tcPr>
          <w:p w14:paraId="78DF2C92" w14:textId="2EA9DADC" w:rsidR="00F51B0F" w:rsidRPr="009F145E" w:rsidRDefault="00F51B0F" w:rsidP="00F51B0F">
            <w:pPr>
              <w:spacing w:after="0" w:line="240" w:lineRule="auto"/>
              <w:rPr>
                <w:rFonts w:ascii="Aptos Narrow" w:eastAsia="Times New Roman" w:hAnsi="Aptos Narrow" w:cs="Times New Roman"/>
                <w:color w:val="000000"/>
                <w:kern w:val="0"/>
                <w:sz w:val="22"/>
                <w:szCs w:val="22"/>
                <w14:ligatures w14:val="none"/>
              </w:rPr>
            </w:pPr>
            <w:r w:rsidRPr="00F51B0F">
              <w:rPr>
                <w:rFonts w:ascii="Aptos Narrow" w:eastAsia="Times New Roman" w:hAnsi="Aptos Narrow" w:cs="Times New Roman"/>
                <w:color w:val="000000"/>
                <w:kern w:val="0"/>
                <w:sz w:val="22"/>
                <w:szCs w:val="22"/>
                <w14:ligatures w14:val="none"/>
              </w:rPr>
              <w:t>Real Estate Amendments</w:t>
            </w:r>
          </w:p>
        </w:tc>
        <w:tc>
          <w:tcPr>
            <w:tcW w:w="1195" w:type="dxa"/>
            <w:shd w:val="clear" w:color="auto" w:fill="auto"/>
            <w:noWrap/>
            <w:vAlign w:val="bottom"/>
            <w:hideMark/>
          </w:tcPr>
          <w:tbl>
            <w:tblPr>
              <w:tblW w:w="960" w:type="dxa"/>
              <w:tblLook w:val="04A0" w:firstRow="1" w:lastRow="0" w:firstColumn="1" w:lastColumn="0" w:noHBand="0" w:noVBand="1"/>
            </w:tblPr>
            <w:tblGrid>
              <w:gridCol w:w="960"/>
            </w:tblGrid>
            <w:tr w:rsidR="00F51B0F" w:rsidRPr="00F51B0F" w14:paraId="637D297F" w14:textId="77777777" w:rsidTr="00285E11">
              <w:trPr>
                <w:trHeight w:val="290"/>
              </w:trPr>
              <w:tc>
                <w:tcPr>
                  <w:tcW w:w="960" w:type="dxa"/>
                  <w:tcBorders>
                    <w:top w:val="nil"/>
                    <w:left w:val="nil"/>
                    <w:bottom w:val="nil"/>
                    <w:right w:val="nil"/>
                  </w:tcBorders>
                  <w:shd w:val="clear" w:color="auto" w:fill="auto"/>
                  <w:noWrap/>
                  <w:vAlign w:val="center"/>
                  <w:hideMark/>
                </w:tcPr>
                <w:p w14:paraId="43A9799D" w14:textId="688EAC3C" w:rsidR="00F51B0F" w:rsidRDefault="00F51B0F" w:rsidP="00F51B0F">
                  <w:pPr>
                    <w:spacing w:after="0" w:line="240" w:lineRule="auto"/>
                    <w:rPr>
                      <w:rFonts w:ascii="Aptos Narrow" w:eastAsia="Times New Roman" w:hAnsi="Aptos Narrow" w:cs="Times New Roman"/>
                      <w:color w:val="000000"/>
                      <w:kern w:val="0"/>
                      <w:sz w:val="22"/>
                      <w:szCs w:val="22"/>
                      <w14:ligatures w14:val="none"/>
                    </w:rPr>
                  </w:pPr>
                  <w:r w:rsidRPr="00F51B0F">
                    <w:rPr>
                      <w:rFonts w:ascii="Aptos Narrow" w:eastAsia="Times New Roman" w:hAnsi="Aptos Narrow" w:cs="Times New Roman"/>
                      <w:color w:val="000000"/>
                      <w:kern w:val="0"/>
                      <w:sz w:val="22"/>
                      <w:szCs w:val="22"/>
                      <w14:ligatures w14:val="none"/>
                    </w:rPr>
                    <w:t>HARPW</w:t>
                  </w:r>
                </w:p>
                <w:p w14:paraId="5D7B6FCE" w14:textId="77777777"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bl>
          <w:p w14:paraId="24BDE7BC" w14:textId="77777777" w:rsidR="00F51B0F" w:rsidRPr="009F145E" w:rsidRDefault="00F51B0F" w:rsidP="00F51B0F">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hideMark/>
          </w:tcPr>
          <w:p w14:paraId="4C2A088F" w14:textId="194F83F4" w:rsidR="00F51B0F" w:rsidRDefault="00F51B0F" w:rsidP="00F51B0F">
            <w:pPr>
              <w:spacing w:line="240" w:lineRule="auto"/>
              <w:rPr>
                <w:rFonts w:ascii="Aptos Narrow" w:hAnsi="Aptos Narrow"/>
                <w:color w:val="000000"/>
                <w:sz w:val="22"/>
                <w:szCs w:val="22"/>
              </w:rPr>
            </w:pPr>
            <w:r>
              <w:rPr>
                <w:rFonts w:ascii="Aptos Narrow" w:hAnsi="Aptos Narrow"/>
                <w:color w:val="000000"/>
                <w:sz w:val="22"/>
                <w:szCs w:val="22"/>
              </w:rPr>
              <w:t>This bill:</w:t>
            </w:r>
            <w:r>
              <w:rPr>
                <w:rFonts w:ascii="Aptos Narrow" w:hAnsi="Aptos Narrow"/>
                <w:color w:val="000000"/>
                <w:sz w:val="22"/>
                <w:szCs w:val="22"/>
              </w:rPr>
              <w:t xml:space="preserve"> </w:t>
            </w:r>
            <w:r>
              <w:rPr>
                <w:rFonts w:ascii="Aptos Narrow" w:hAnsi="Aptos Narrow"/>
                <w:color w:val="000000"/>
                <w:sz w:val="22"/>
                <w:szCs w:val="22"/>
              </w:rPr>
              <w:t>authorizes an association to establish by rule a minimum lease term of six months or less;</w:t>
            </w:r>
            <w:r>
              <w:rPr>
                <w:rFonts w:ascii="Aptos Narrow" w:hAnsi="Aptos Narrow"/>
                <w:color w:val="000000"/>
                <w:sz w:val="22"/>
                <w:szCs w:val="22"/>
              </w:rPr>
              <w:t xml:space="preserve"> </w:t>
            </w:r>
            <w:r>
              <w:rPr>
                <w:rFonts w:ascii="Aptos Narrow" w:hAnsi="Aptos Narrow"/>
                <w:color w:val="000000"/>
                <w:sz w:val="22"/>
                <w:szCs w:val="22"/>
              </w:rPr>
              <w:t>provides that a homeowners' association fee for rentals does not apply to certain exempt persons;</w:t>
            </w:r>
            <w:r>
              <w:rPr>
                <w:rFonts w:ascii="Aptos Narrow" w:hAnsi="Aptos Narrow"/>
                <w:color w:val="000000"/>
                <w:sz w:val="22"/>
                <w:szCs w:val="22"/>
              </w:rPr>
              <w:t xml:space="preserve"> </w:t>
            </w:r>
            <w:r>
              <w:rPr>
                <w:rFonts w:ascii="Aptos Narrow" w:hAnsi="Aptos Narrow"/>
                <w:color w:val="000000"/>
                <w:sz w:val="22"/>
                <w:szCs w:val="22"/>
              </w:rPr>
              <w:t>provides that a homeowners' association may only charge a fee to an owner that owns a rental within the homeowners' association once every 12 months;</w:t>
            </w:r>
            <w:r>
              <w:rPr>
                <w:rFonts w:ascii="Aptos Narrow" w:hAnsi="Aptos Narrow"/>
                <w:color w:val="000000"/>
                <w:sz w:val="22"/>
                <w:szCs w:val="22"/>
              </w:rPr>
              <w:t xml:space="preserve"> </w:t>
            </w:r>
            <w:r>
              <w:rPr>
                <w:rFonts w:ascii="Aptos Narrow" w:hAnsi="Aptos Narrow"/>
                <w:color w:val="000000"/>
                <w:sz w:val="22"/>
                <w:szCs w:val="22"/>
              </w:rPr>
              <w:t>requires that a homeowners' association hold a meeting and approve a fee before imposing a fee on an owner that owns a rental within the homeowners' association;</w:t>
            </w:r>
            <w:r>
              <w:rPr>
                <w:rFonts w:ascii="Aptos Narrow" w:hAnsi="Aptos Narrow"/>
                <w:color w:val="000000"/>
                <w:sz w:val="22"/>
                <w:szCs w:val="22"/>
              </w:rPr>
              <w:t xml:space="preserve"> </w:t>
            </w:r>
            <w:r>
              <w:rPr>
                <w:rFonts w:ascii="Aptos Narrow" w:hAnsi="Aptos Narrow"/>
                <w:color w:val="000000"/>
                <w:sz w:val="22"/>
                <w:szCs w:val="22"/>
              </w:rPr>
              <w:t>provides a remedy by which an owner may contest a fee a homeowners' association imposes for a rental;</w:t>
            </w:r>
            <w:r>
              <w:rPr>
                <w:rFonts w:ascii="Aptos Narrow" w:hAnsi="Aptos Narrow"/>
                <w:color w:val="000000"/>
                <w:sz w:val="22"/>
                <w:szCs w:val="22"/>
              </w:rPr>
              <w:t xml:space="preserve">  </w:t>
            </w:r>
            <w:r>
              <w:rPr>
                <w:rFonts w:ascii="Aptos Narrow" w:hAnsi="Aptos Narrow"/>
                <w:color w:val="000000"/>
                <w:sz w:val="22"/>
                <w:szCs w:val="22"/>
              </w:rPr>
              <w:t>authorizes a representative of a homeowners' association to act as attorney-in-fact for the owners in a homeowners' association for any disposition of common areas;</w:t>
            </w:r>
            <w:r>
              <w:rPr>
                <w:rFonts w:ascii="Aptos Narrow" w:hAnsi="Aptos Narrow"/>
                <w:color w:val="000000"/>
                <w:sz w:val="22"/>
                <w:szCs w:val="22"/>
              </w:rPr>
              <w:t xml:space="preserve">  </w:t>
            </w:r>
            <w:r>
              <w:rPr>
                <w:rFonts w:ascii="Aptos Narrow" w:hAnsi="Aptos Narrow"/>
                <w:color w:val="000000"/>
                <w:sz w:val="22"/>
                <w:szCs w:val="22"/>
              </w:rPr>
              <w:t>modifies the circumstances under which a homeowners' association can prohibit or restrict the conversion of a grass park strip to water-efficient landscaping; defines terms;</w:t>
            </w:r>
            <w:r>
              <w:rPr>
                <w:rFonts w:ascii="Aptos Narrow" w:hAnsi="Aptos Narrow"/>
                <w:color w:val="000000"/>
                <w:sz w:val="22"/>
                <w:szCs w:val="22"/>
              </w:rPr>
              <w:t xml:space="preserve">  </w:t>
            </w:r>
            <w:r>
              <w:rPr>
                <w:rFonts w:ascii="Aptos Narrow" w:hAnsi="Aptos Narrow"/>
                <w:color w:val="000000"/>
                <w:sz w:val="22"/>
                <w:szCs w:val="22"/>
              </w:rPr>
              <w:t>requires that a condominium owner provide the developer notice and an opportunity to repair any alleged design or construction defect before filing a lawsuit; and</w:t>
            </w:r>
            <w:r>
              <w:rPr>
                <w:rFonts w:ascii="Aptos Narrow" w:hAnsi="Aptos Narrow"/>
                <w:color w:val="000000"/>
                <w:sz w:val="22"/>
                <w:szCs w:val="22"/>
              </w:rPr>
              <w:t xml:space="preserve"> </w:t>
            </w:r>
            <w:r>
              <w:rPr>
                <w:rFonts w:ascii="Aptos Narrow" w:hAnsi="Aptos Narrow"/>
                <w:color w:val="000000"/>
                <w:sz w:val="22"/>
                <w:szCs w:val="22"/>
              </w:rPr>
              <w:t>makes technical and conforming changes.</w:t>
            </w:r>
          </w:p>
          <w:p w14:paraId="246FD32B" w14:textId="77777777"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p>
        </w:tc>
      </w:tr>
      <w:tr w:rsidR="00F51B0F" w:rsidRPr="009F145E" w14:paraId="0CBD1716" w14:textId="77777777" w:rsidTr="00F51B0F">
        <w:trPr>
          <w:trHeight w:val="290"/>
          <w:jc w:val="center"/>
        </w:trPr>
        <w:tc>
          <w:tcPr>
            <w:tcW w:w="1173" w:type="dxa"/>
            <w:shd w:val="clear" w:color="auto" w:fill="auto"/>
            <w:noWrap/>
            <w:vAlign w:val="center"/>
            <w:hideMark/>
          </w:tcPr>
          <w:p w14:paraId="60D74416" w14:textId="77777777"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p>
        </w:tc>
        <w:tc>
          <w:tcPr>
            <w:tcW w:w="3075" w:type="dxa"/>
            <w:shd w:val="clear" w:color="auto" w:fill="auto"/>
            <w:noWrap/>
            <w:vAlign w:val="center"/>
          </w:tcPr>
          <w:p w14:paraId="3D5BF841" w14:textId="76AEB5A9" w:rsidR="00F51B0F" w:rsidRPr="009F145E" w:rsidRDefault="00F51B0F" w:rsidP="00F51B0F">
            <w:pPr>
              <w:spacing w:after="0" w:line="240" w:lineRule="auto"/>
              <w:rPr>
                <w:rFonts w:ascii="Aptos Narrow" w:eastAsia="Times New Roman" w:hAnsi="Aptos Narrow" w:cs="Times New Roman"/>
                <w:color w:val="000000"/>
                <w:kern w:val="0"/>
                <w:sz w:val="22"/>
                <w:szCs w:val="22"/>
                <w14:ligatures w14:val="none"/>
              </w:rPr>
            </w:pPr>
          </w:p>
        </w:tc>
        <w:tc>
          <w:tcPr>
            <w:tcW w:w="1195" w:type="dxa"/>
            <w:shd w:val="clear" w:color="auto" w:fill="auto"/>
            <w:noWrap/>
            <w:vAlign w:val="bottom"/>
            <w:hideMark/>
          </w:tcPr>
          <w:p w14:paraId="0C4F9D8C" w14:textId="77777777" w:rsidR="00F51B0F" w:rsidRPr="009F145E" w:rsidRDefault="00F51B0F" w:rsidP="00F51B0F">
            <w:pPr>
              <w:spacing w:after="0" w:line="240" w:lineRule="auto"/>
              <w:rPr>
                <w:rFonts w:ascii="Aptos Narrow" w:eastAsia="Times New Roman" w:hAnsi="Aptos Narrow" w:cs="Times New Roman"/>
                <w:color w:val="000000"/>
                <w:kern w:val="0"/>
                <w:sz w:val="22"/>
                <w:szCs w:val="22"/>
                <w14:ligatures w14:val="none"/>
              </w:rPr>
            </w:pPr>
          </w:p>
        </w:tc>
        <w:tc>
          <w:tcPr>
            <w:tcW w:w="9235" w:type="dxa"/>
            <w:shd w:val="clear" w:color="auto" w:fill="auto"/>
            <w:noWrap/>
            <w:vAlign w:val="bottom"/>
            <w:hideMark/>
          </w:tcPr>
          <w:p w14:paraId="655BC5B8" w14:textId="77777777" w:rsidR="00F51B0F" w:rsidRPr="009F145E" w:rsidRDefault="00F51B0F" w:rsidP="00F51B0F">
            <w:pPr>
              <w:spacing w:after="0" w:line="240" w:lineRule="auto"/>
              <w:rPr>
                <w:rFonts w:ascii="Times New Roman" w:eastAsia="Times New Roman" w:hAnsi="Times New Roman" w:cs="Times New Roman"/>
                <w:kern w:val="0"/>
                <w:sz w:val="20"/>
                <w:szCs w:val="20"/>
                <w14:ligatures w14:val="none"/>
              </w:rPr>
            </w:pPr>
          </w:p>
        </w:tc>
      </w:tr>
    </w:tbl>
    <w:p w14:paraId="21A26B35" w14:textId="77777777" w:rsidR="009F145E" w:rsidRDefault="009F145E"/>
    <w:tbl>
      <w:tblPr>
        <w:tblW w:w="7000" w:type="dxa"/>
        <w:tblLook w:val="04A0" w:firstRow="1" w:lastRow="0" w:firstColumn="1" w:lastColumn="0" w:noHBand="0" w:noVBand="1"/>
      </w:tblPr>
      <w:tblGrid>
        <w:gridCol w:w="7000"/>
      </w:tblGrid>
      <w:tr w:rsidR="00F51B0F" w:rsidRPr="00F51B0F" w14:paraId="4D588210" w14:textId="77777777" w:rsidTr="00F51B0F">
        <w:trPr>
          <w:trHeight w:val="290"/>
        </w:trPr>
        <w:tc>
          <w:tcPr>
            <w:tcW w:w="7000" w:type="dxa"/>
            <w:tcBorders>
              <w:top w:val="nil"/>
              <w:left w:val="nil"/>
              <w:bottom w:val="nil"/>
              <w:right w:val="nil"/>
            </w:tcBorders>
            <w:shd w:val="clear" w:color="auto" w:fill="auto"/>
            <w:noWrap/>
            <w:vAlign w:val="bottom"/>
            <w:hideMark/>
          </w:tcPr>
          <w:tbl>
            <w:tblPr>
              <w:tblW w:w="960" w:type="dxa"/>
              <w:tblLook w:val="04A0" w:firstRow="1" w:lastRow="0" w:firstColumn="1" w:lastColumn="0" w:noHBand="0" w:noVBand="1"/>
            </w:tblPr>
            <w:tblGrid>
              <w:gridCol w:w="960"/>
            </w:tblGrid>
            <w:tr w:rsidR="00F51B0F" w:rsidRPr="00F51B0F" w14:paraId="7CCA95CC" w14:textId="77777777" w:rsidTr="00F51B0F">
              <w:trPr>
                <w:trHeight w:val="290"/>
              </w:trPr>
              <w:tc>
                <w:tcPr>
                  <w:tcW w:w="960" w:type="dxa"/>
                  <w:tcBorders>
                    <w:top w:val="nil"/>
                    <w:left w:val="nil"/>
                    <w:bottom w:val="nil"/>
                    <w:right w:val="nil"/>
                  </w:tcBorders>
                  <w:shd w:val="clear" w:color="auto" w:fill="auto"/>
                  <w:noWrap/>
                  <w:vAlign w:val="bottom"/>
                  <w:hideMark/>
                </w:tcPr>
                <w:p w14:paraId="08B40258" w14:textId="0E6C8133"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r w:rsidR="00F51B0F" w:rsidRPr="00F51B0F" w14:paraId="29272489" w14:textId="77777777" w:rsidTr="00F51B0F">
              <w:trPr>
                <w:trHeight w:val="290"/>
              </w:trPr>
              <w:tc>
                <w:tcPr>
                  <w:tcW w:w="960" w:type="dxa"/>
                  <w:tcBorders>
                    <w:top w:val="nil"/>
                    <w:left w:val="nil"/>
                    <w:bottom w:val="nil"/>
                    <w:right w:val="nil"/>
                  </w:tcBorders>
                  <w:shd w:val="clear" w:color="auto" w:fill="auto"/>
                  <w:noWrap/>
                  <w:vAlign w:val="bottom"/>
                  <w:hideMark/>
                </w:tcPr>
                <w:p w14:paraId="02E1BD48" w14:textId="7B253CC4"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r w:rsidR="00F51B0F" w:rsidRPr="00F51B0F" w14:paraId="7A41FE21" w14:textId="77777777" w:rsidTr="00285E11">
              <w:trPr>
                <w:trHeight w:val="290"/>
              </w:trPr>
              <w:tc>
                <w:tcPr>
                  <w:tcW w:w="960" w:type="dxa"/>
                  <w:tcBorders>
                    <w:top w:val="nil"/>
                    <w:left w:val="nil"/>
                    <w:bottom w:val="nil"/>
                    <w:right w:val="nil"/>
                  </w:tcBorders>
                  <w:shd w:val="clear" w:color="auto" w:fill="auto"/>
                  <w:noWrap/>
                  <w:vAlign w:val="center"/>
                </w:tcPr>
                <w:p w14:paraId="5DB16A25" w14:textId="36EC6508"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r w:rsidR="00F51B0F" w:rsidRPr="00F51B0F" w14:paraId="53EF7522" w14:textId="77777777" w:rsidTr="00F51B0F">
              <w:trPr>
                <w:trHeight w:val="290"/>
              </w:trPr>
              <w:tc>
                <w:tcPr>
                  <w:tcW w:w="960" w:type="dxa"/>
                  <w:tcBorders>
                    <w:top w:val="nil"/>
                    <w:left w:val="nil"/>
                    <w:bottom w:val="nil"/>
                    <w:right w:val="nil"/>
                  </w:tcBorders>
                  <w:shd w:val="clear" w:color="auto" w:fill="auto"/>
                  <w:noWrap/>
                  <w:vAlign w:val="bottom"/>
                  <w:hideMark/>
                </w:tcPr>
                <w:p w14:paraId="50BF3F62" w14:textId="675BAD91"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r w:rsidR="00F51B0F" w:rsidRPr="00F51B0F" w14:paraId="151719EB" w14:textId="77777777" w:rsidTr="00F51B0F">
              <w:trPr>
                <w:trHeight w:val="290"/>
              </w:trPr>
              <w:tc>
                <w:tcPr>
                  <w:tcW w:w="960" w:type="dxa"/>
                  <w:tcBorders>
                    <w:top w:val="nil"/>
                    <w:left w:val="nil"/>
                    <w:bottom w:val="nil"/>
                    <w:right w:val="nil"/>
                  </w:tcBorders>
                  <w:shd w:val="clear" w:color="auto" w:fill="auto"/>
                  <w:noWrap/>
                  <w:vAlign w:val="bottom"/>
                </w:tcPr>
                <w:p w14:paraId="246D6DB9" w14:textId="6F48F8BD"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bl>
          <w:p w14:paraId="63D71549" w14:textId="1542BC5E"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r w:rsidR="00F51B0F" w:rsidRPr="00F51B0F" w14:paraId="427F18FB" w14:textId="77777777" w:rsidTr="00F51B0F">
        <w:trPr>
          <w:trHeight w:val="290"/>
        </w:trPr>
        <w:tc>
          <w:tcPr>
            <w:tcW w:w="7000" w:type="dxa"/>
            <w:tcBorders>
              <w:top w:val="nil"/>
              <w:left w:val="nil"/>
              <w:bottom w:val="nil"/>
              <w:right w:val="nil"/>
            </w:tcBorders>
            <w:shd w:val="clear" w:color="auto" w:fill="auto"/>
            <w:noWrap/>
            <w:vAlign w:val="bottom"/>
          </w:tcPr>
          <w:p w14:paraId="578272E8" w14:textId="7D1EBCC6"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r w:rsidR="00F51B0F" w:rsidRPr="00F51B0F" w14:paraId="6A94E19C" w14:textId="77777777" w:rsidTr="00F51B0F">
        <w:trPr>
          <w:trHeight w:val="290"/>
        </w:trPr>
        <w:tc>
          <w:tcPr>
            <w:tcW w:w="7000" w:type="dxa"/>
            <w:tcBorders>
              <w:top w:val="nil"/>
              <w:left w:val="nil"/>
              <w:bottom w:val="nil"/>
              <w:right w:val="nil"/>
            </w:tcBorders>
            <w:shd w:val="clear" w:color="auto" w:fill="auto"/>
            <w:noWrap/>
            <w:vAlign w:val="bottom"/>
          </w:tcPr>
          <w:p w14:paraId="20EE21D6" w14:textId="37275945"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r w:rsidR="00F51B0F" w:rsidRPr="00F51B0F" w14:paraId="550BB308" w14:textId="77777777" w:rsidTr="00F51B0F">
        <w:trPr>
          <w:trHeight w:val="290"/>
        </w:trPr>
        <w:tc>
          <w:tcPr>
            <w:tcW w:w="7000" w:type="dxa"/>
            <w:tcBorders>
              <w:top w:val="nil"/>
              <w:left w:val="nil"/>
              <w:bottom w:val="nil"/>
              <w:right w:val="nil"/>
            </w:tcBorders>
            <w:shd w:val="clear" w:color="auto" w:fill="auto"/>
            <w:noWrap/>
            <w:vAlign w:val="bottom"/>
            <w:hideMark/>
          </w:tcPr>
          <w:p w14:paraId="6CA019D3" w14:textId="22548534"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r w:rsidR="00F51B0F" w:rsidRPr="00F51B0F" w14:paraId="7A2BE606" w14:textId="77777777" w:rsidTr="00F51B0F">
        <w:trPr>
          <w:trHeight w:val="290"/>
        </w:trPr>
        <w:tc>
          <w:tcPr>
            <w:tcW w:w="7000" w:type="dxa"/>
            <w:tcBorders>
              <w:top w:val="nil"/>
              <w:left w:val="nil"/>
              <w:bottom w:val="nil"/>
              <w:right w:val="nil"/>
            </w:tcBorders>
            <w:shd w:val="clear" w:color="auto" w:fill="auto"/>
            <w:noWrap/>
            <w:vAlign w:val="bottom"/>
            <w:hideMark/>
          </w:tcPr>
          <w:p w14:paraId="3CE00BA7" w14:textId="69F31CEF" w:rsidR="00F51B0F" w:rsidRPr="00F51B0F" w:rsidRDefault="00F51B0F" w:rsidP="00F51B0F">
            <w:pPr>
              <w:spacing w:after="0" w:line="240" w:lineRule="auto"/>
              <w:rPr>
                <w:rFonts w:ascii="Aptos Narrow" w:eastAsia="Times New Roman" w:hAnsi="Aptos Narrow" w:cs="Times New Roman"/>
                <w:color w:val="000000"/>
                <w:kern w:val="0"/>
                <w:sz w:val="22"/>
                <w:szCs w:val="22"/>
                <w14:ligatures w14:val="none"/>
              </w:rPr>
            </w:pPr>
          </w:p>
        </w:tc>
      </w:tr>
    </w:tbl>
    <w:p w14:paraId="6B3BFD40" w14:textId="77777777" w:rsidR="00F51B0F" w:rsidRDefault="00F51B0F"/>
    <w:sectPr w:rsidR="00F51B0F" w:rsidSect="009F145E">
      <w:headerReference w:type="default" r:id="rId70"/>
      <w:pgSz w:w="15840" w:h="12240" w:orient="landscape"/>
      <w:pgMar w:top="1440"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C93AC" w14:textId="77777777" w:rsidR="00C91CBE" w:rsidRDefault="00C91CBE" w:rsidP="00772644">
      <w:pPr>
        <w:spacing w:after="0" w:line="240" w:lineRule="auto"/>
      </w:pPr>
      <w:r>
        <w:separator/>
      </w:r>
    </w:p>
  </w:endnote>
  <w:endnote w:type="continuationSeparator" w:id="0">
    <w:p w14:paraId="38E7A19D" w14:textId="77777777" w:rsidR="00C91CBE" w:rsidRDefault="00C91CBE" w:rsidP="0077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00B0" w14:textId="77777777" w:rsidR="00C91CBE" w:rsidRDefault="00C91CBE" w:rsidP="00772644">
      <w:pPr>
        <w:spacing w:after="0" w:line="240" w:lineRule="auto"/>
      </w:pPr>
      <w:r>
        <w:separator/>
      </w:r>
    </w:p>
  </w:footnote>
  <w:footnote w:type="continuationSeparator" w:id="0">
    <w:p w14:paraId="44B8D97B" w14:textId="77777777" w:rsidR="00C91CBE" w:rsidRDefault="00C91CBE" w:rsidP="0077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648D" w14:textId="6BDC4344" w:rsidR="00772644" w:rsidRPr="004623D9" w:rsidRDefault="00772644">
    <w:pPr>
      <w:pStyle w:val="Header"/>
      <w:rPr>
        <w:b/>
        <w:bCs/>
        <w:color w:val="77206D" w:themeColor="accent5" w:themeShade="BF"/>
        <w:sz w:val="28"/>
        <w:szCs w:val="28"/>
      </w:rPr>
    </w:pPr>
    <w:r w:rsidRPr="004623D9">
      <w:rPr>
        <w:b/>
        <w:bCs/>
        <w:color w:val="77206D" w:themeColor="accent5" w:themeShade="BF"/>
        <w:sz w:val="28"/>
        <w:szCs w:val="28"/>
      </w:rPr>
      <w:t xml:space="preserve">Week </w:t>
    </w:r>
    <w:r w:rsidR="006E2607">
      <w:rPr>
        <w:b/>
        <w:bCs/>
        <w:color w:val="77206D" w:themeColor="accent5" w:themeShade="BF"/>
        <w:sz w:val="28"/>
        <w:szCs w:val="28"/>
      </w:rPr>
      <w:t>2</w:t>
    </w:r>
    <w:r w:rsidRPr="004623D9">
      <w:rPr>
        <w:b/>
        <w:bCs/>
        <w:color w:val="77206D" w:themeColor="accent5" w:themeShade="BF"/>
        <w:sz w:val="28"/>
        <w:szCs w:val="28"/>
      </w:rPr>
      <w:t xml:space="preserve"> - Bills January 2</w:t>
    </w:r>
    <w:r w:rsidR="006E2607">
      <w:rPr>
        <w:b/>
        <w:bCs/>
        <w:color w:val="77206D" w:themeColor="accent5" w:themeShade="BF"/>
        <w:sz w:val="28"/>
        <w:szCs w:val="28"/>
      </w:rPr>
      <w:t>7</w:t>
    </w:r>
    <w:r w:rsidRPr="004623D9">
      <w:rPr>
        <w:b/>
        <w:bCs/>
        <w:color w:val="77206D" w:themeColor="accent5" w:themeShade="BF"/>
        <w:sz w:val="28"/>
        <w:szCs w:val="28"/>
      </w:rPr>
      <w:t xml:space="preserve"> – </w:t>
    </w:r>
    <w:r w:rsidR="006E2607">
      <w:rPr>
        <w:b/>
        <w:bCs/>
        <w:color w:val="77206D" w:themeColor="accent5" w:themeShade="BF"/>
        <w:sz w:val="28"/>
        <w:szCs w:val="28"/>
      </w:rPr>
      <w:t>31</w:t>
    </w:r>
    <w:r w:rsidRPr="004623D9">
      <w:rPr>
        <w:b/>
        <w:bCs/>
        <w:color w:val="77206D" w:themeColor="accent5" w:themeShade="BF"/>
        <w:sz w:val="28"/>
        <w:szCs w:val="28"/>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5E"/>
    <w:rsid w:val="00035D42"/>
    <w:rsid w:val="000559BE"/>
    <w:rsid w:val="00285E11"/>
    <w:rsid w:val="003001EC"/>
    <w:rsid w:val="00375BFE"/>
    <w:rsid w:val="003A397D"/>
    <w:rsid w:val="004623D9"/>
    <w:rsid w:val="006E2607"/>
    <w:rsid w:val="007678DD"/>
    <w:rsid w:val="00772644"/>
    <w:rsid w:val="00810242"/>
    <w:rsid w:val="00822C49"/>
    <w:rsid w:val="00823CB0"/>
    <w:rsid w:val="00867B63"/>
    <w:rsid w:val="008E3410"/>
    <w:rsid w:val="008F3AA8"/>
    <w:rsid w:val="009F145E"/>
    <w:rsid w:val="00A37EA4"/>
    <w:rsid w:val="00B71BF9"/>
    <w:rsid w:val="00BD09F2"/>
    <w:rsid w:val="00C72C9B"/>
    <w:rsid w:val="00C91CBE"/>
    <w:rsid w:val="00D672A6"/>
    <w:rsid w:val="00DE1F7E"/>
    <w:rsid w:val="00F1710A"/>
    <w:rsid w:val="00F51B0F"/>
    <w:rsid w:val="00FE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25BA"/>
  <w15:chartTrackingRefBased/>
  <w15:docId w15:val="{7AD1EBFD-484E-413E-B874-7A9C52A3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45E"/>
    <w:rPr>
      <w:rFonts w:eastAsiaTheme="majorEastAsia" w:cstheme="majorBidi"/>
      <w:color w:val="272727" w:themeColor="text1" w:themeTint="D8"/>
    </w:rPr>
  </w:style>
  <w:style w:type="paragraph" w:styleId="Title">
    <w:name w:val="Title"/>
    <w:basedOn w:val="Normal"/>
    <w:next w:val="Normal"/>
    <w:link w:val="TitleChar"/>
    <w:uiPriority w:val="10"/>
    <w:qFormat/>
    <w:rsid w:val="009F1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45E"/>
    <w:pPr>
      <w:spacing w:before="160"/>
      <w:jc w:val="center"/>
    </w:pPr>
    <w:rPr>
      <w:i/>
      <w:iCs/>
      <w:color w:val="404040" w:themeColor="text1" w:themeTint="BF"/>
    </w:rPr>
  </w:style>
  <w:style w:type="character" w:customStyle="1" w:styleId="QuoteChar">
    <w:name w:val="Quote Char"/>
    <w:basedOn w:val="DefaultParagraphFont"/>
    <w:link w:val="Quote"/>
    <w:uiPriority w:val="29"/>
    <w:rsid w:val="009F145E"/>
    <w:rPr>
      <w:i/>
      <w:iCs/>
      <w:color w:val="404040" w:themeColor="text1" w:themeTint="BF"/>
    </w:rPr>
  </w:style>
  <w:style w:type="paragraph" w:styleId="ListParagraph">
    <w:name w:val="List Paragraph"/>
    <w:basedOn w:val="Normal"/>
    <w:uiPriority w:val="34"/>
    <w:qFormat/>
    <w:rsid w:val="009F145E"/>
    <w:pPr>
      <w:ind w:left="720"/>
      <w:contextualSpacing/>
    </w:pPr>
  </w:style>
  <w:style w:type="character" w:styleId="IntenseEmphasis">
    <w:name w:val="Intense Emphasis"/>
    <w:basedOn w:val="DefaultParagraphFont"/>
    <w:uiPriority w:val="21"/>
    <w:qFormat/>
    <w:rsid w:val="009F145E"/>
    <w:rPr>
      <w:i/>
      <w:iCs/>
      <w:color w:val="0F4761" w:themeColor="accent1" w:themeShade="BF"/>
    </w:rPr>
  </w:style>
  <w:style w:type="paragraph" w:styleId="IntenseQuote">
    <w:name w:val="Intense Quote"/>
    <w:basedOn w:val="Normal"/>
    <w:next w:val="Normal"/>
    <w:link w:val="IntenseQuoteChar"/>
    <w:uiPriority w:val="30"/>
    <w:qFormat/>
    <w:rsid w:val="009F1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45E"/>
    <w:rPr>
      <w:i/>
      <w:iCs/>
      <w:color w:val="0F4761" w:themeColor="accent1" w:themeShade="BF"/>
    </w:rPr>
  </w:style>
  <w:style w:type="character" w:styleId="IntenseReference">
    <w:name w:val="Intense Reference"/>
    <w:basedOn w:val="DefaultParagraphFont"/>
    <w:uiPriority w:val="32"/>
    <w:qFormat/>
    <w:rsid w:val="009F145E"/>
    <w:rPr>
      <w:b/>
      <w:bCs/>
      <w:smallCaps/>
      <w:color w:val="0F4761" w:themeColor="accent1" w:themeShade="BF"/>
      <w:spacing w:val="5"/>
    </w:rPr>
  </w:style>
  <w:style w:type="character" w:styleId="Hyperlink">
    <w:name w:val="Hyperlink"/>
    <w:basedOn w:val="DefaultParagraphFont"/>
    <w:uiPriority w:val="99"/>
    <w:unhideWhenUsed/>
    <w:rsid w:val="00810242"/>
    <w:rPr>
      <w:color w:val="467886" w:themeColor="hyperlink"/>
      <w:u w:val="single"/>
    </w:rPr>
  </w:style>
  <w:style w:type="character" w:styleId="UnresolvedMention">
    <w:name w:val="Unresolved Mention"/>
    <w:basedOn w:val="DefaultParagraphFont"/>
    <w:uiPriority w:val="99"/>
    <w:semiHidden/>
    <w:unhideWhenUsed/>
    <w:rsid w:val="00810242"/>
    <w:rPr>
      <w:color w:val="605E5C"/>
      <w:shd w:val="clear" w:color="auto" w:fill="E1DFDD"/>
    </w:rPr>
  </w:style>
  <w:style w:type="paragraph" w:styleId="Header">
    <w:name w:val="header"/>
    <w:basedOn w:val="Normal"/>
    <w:link w:val="HeaderChar"/>
    <w:uiPriority w:val="99"/>
    <w:unhideWhenUsed/>
    <w:rsid w:val="007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44"/>
  </w:style>
  <w:style w:type="paragraph" w:styleId="Footer">
    <w:name w:val="footer"/>
    <w:basedOn w:val="Normal"/>
    <w:link w:val="FooterChar"/>
    <w:uiPriority w:val="99"/>
    <w:unhideWhenUsed/>
    <w:rsid w:val="007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44"/>
  </w:style>
  <w:style w:type="character" w:styleId="FollowedHyperlink">
    <w:name w:val="FollowedHyperlink"/>
    <w:basedOn w:val="DefaultParagraphFont"/>
    <w:uiPriority w:val="99"/>
    <w:semiHidden/>
    <w:unhideWhenUsed/>
    <w:rsid w:val="006E26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1684">
      <w:bodyDiv w:val="1"/>
      <w:marLeft w:val="0"/>
      <w:marRight w:val="0"/>
      <w:marTop w:val="0"/>
      <w:marBottom w:val="0"/>
      <w:divBdr>
        <w:top w:val="none" w:sz="0" w:space="0" w:color="auto"/>
        <w:left w:val="none" w:sz="0" w:space="0" w:color="auto"/>
        <w:bottom w:val="none" w:sz="0" w:space="0" w:color="auto"/>
        <w:right w:val="none" w:sz="0" w:space="0" w:color="auto"/>
      </w:divBdr>
    </w:div>
    <w:div w:id="205484753">
      <w:bodyDiv w:val="1"/>
      <w:marLeft w:val="0"/>
      <w:marRight w:val="0"/>
      <w:marTop w:val="0"/>
      <w:marBottom w:val="0"/>
      <w:divBdr>
        <w:top w:val="none" w:sz="0" w:space="0" w:color="auto"/>
        <w:left w:val="none" w:sz="0" w:space="0" w:color="auto"/>
        <w:bottom w:val="none" w:sz="0" w:space="0" w:color="auto"/>
        <w:right w:val="none" w:sz="0" w:space="0" w:color="auto"/>
      </w:divBdr>
    </w:div>
    <w:div w:id="237372128">
      <w:bodyDiv w:val="1"/>
      <w:marLeft w:val="0"/>
      <w:marRight w:val="0"/>
      <w:marTop w:val="0"/>
      <w:marBottom w:val="0"/>
      <w:divBdr>
        <w:top w:val="none" w:sz="0" w:space="0" w:color="auto"/>
        <w:left w:val="none" w:sz="0" w:space="0" w:color="auto"/>
        <w:bottom w:val="none" w:sz="0" w:space="0" w:color="auto"/>
        <w:right w:val="none" w:sz="0" w:space="0" w:color="auto"/>
      </w:divBdr>
    </w:div>
    <w:div w:id="244461506">
      <w:bodyDiv w:val="1"/>
      <w:marLeft w:val="0"/>
      <w:marRight w:val="0"/>
      <w:marTop w:val="0"/>
      <w:marBottom w:val="0"/>
      <w:divBdr>
        <w:top w:val="none" w:sz="0" w:space="0" w:color="auto"/>
        <w:left w:val="none" w:sz="0" w:space="0" w:color="auto"/>
        <w:bottom w:val="none" w:sz="0" w:space="0" w:color="auto"/>
        <w:right w:val="none" w:sz="0" w:space="0" w:color="auto"/>
      </w:divBdr>
    </w:div>
    <w:div w:id="255408694">
      <w:bodyDiv w:val="1"/>
      <w:marLeft w:val="0"/>
      <w:marRight w:val="0"/>
      <w:marTop w:val="0"/>
      <w:marBottom w:val="0"/>
      <w:divBdr>
        <w:top w:val="none" w:sz="0" w:space="0" w:color="auto"/>
        <w:left w:val="none" w:sz="0" w:space="0" w:color="auto"/>
        <w:bottom w:val="none" w:sz="0" w:space="0" w:color="auto"/>
        <w:right w:val="none" w:sz="0" w:space="0" w:color="auto"/>
      </w:divBdr>
    </w:div>
    <w:div w:id="700133229">
      <w:bodyDiv w:val="1"/>
      <w:marLeft w:val="0"/>
      <w:marRight w:val="0"/>
      <w:marTop w:val="0"/>
      <w:marBottom w:val="0"/>
      <w:divBdr>
        <w:top w:val="none" w:sz="0" w:space="0" w:color="auto"/>
        <w:left w:val="none" w:sz="0" w:space="0" w:color="auto"/>
        <w:bottom w:val="none" w:sz="0" w:space="0" w:color="auto"/>
        <w:right w:val="none" w:sz="0" w:space="0" w:color="auto"/>
      </w:divBdr>
    </w:div>
    <w:div w:id="740257435">
      <w:bodyDiv w:val="1"/>
      <w:marLeft w:val="0"/>
      <w:marRight w:val="0"/>
      <w:marTop w:val="0"/>
      <w:marBottom w:val="0"/>
      <w:divBdr>
        <w:top w:val="none" w:sz="0" w:space="0" w:color="auto"/>
        <w:left w:val="none" w:sz="0" w:space="0" w:color="auto"/>
        <w:bottom w:val="none" w:sz="0" w:space="0" w:color="auto"/>
        <w:right w:val="none" w:sz="0" w:space="0" w:color="auto"/>
      </w:divBdr>
    </w:div>
    <w:div w:id="841360303">
      <w:bodyDiv w:val="1"/>
      <w:marLeft w:val="0"/>
      <w:marRight w:val="0"/>
      <w:marTop w:val="0"/>
      <w:marBottom w:val="0"/>
      <w:divBdr>
        <w:top w:val="none" w:sz="0" w:space="0" w:color="auto"/>
        <w:left w:val="none" w:sz="0" w:space="0" w:color="auto"/>
        <w:bottom w:val="none" w:sz="0" w:space="0" w:color="auto"/>
        <w:right w:val="none" w:sz="0" w:space="0" w:color="auto"/>
      </w:divBdr>
    </w:div>
    <w:div w:id="866721553">
      <w:bodyDiv w:val="1"/>
      <w:marLeft w:val="0"/>
      <w:marRight w:val="0"/>
      <w:marTop w:val="0"/>
      <w:marBottom w:val="0"/>
      <w:divBdr>
        <w:top w:val="none" w:sz="0" w:space="0" w:color="auto"/>
        <w:left w:val="none" w:sz="0" w:space="0" w:color="auto"/>
        <w:bottom w:val="none" w:sz="0" w:space="0" w:color="auto"/>
        <w:right w:val="none" w:sz="0" w:space="0" w:color="auto"/>
      </w:divBdr>
    </w:div>
    <w:div w:id="904560122">
      <w:bodyDiv w:val="1"/>
      <w:marLeft w:val="0"/>
      <w:marRight w:val="0"/>
      <w:marTop w:val="0"/>
      <w:marBottom w:val="0"/>
      <w:divBdr>
        <w:top w:val="none" w:sz="0" w:space="0" w:color="auto"/>
        <w:left w:val="none" w:sz="0" w:space="0" w:color="auto"/>
        <w:bottom w:val="none" w:sz="0" w:space="0" w:color="auto"/>
        <w:right w:val="none" w:sz="0" w:space="0" w:color="auto"/>
      </w:divBdr>
    </w:div>
    <w:div w:id="1037699915">
      <w:bodyDiv w:val="1"/>
      <w:marLeft w:val="0"/>
      <w:marRight w:val="0"/>
      <w:marTop w:val="0"/>
      <w:marBottom w:val="0"/>
      <w:divBdr>
        <w:top w:val="none" w:sz="0" w:space="0" w:color="auto"/>
        <w:left w:val="none" w:sz="0" w:space="0" w:color="auto"/>
        <w:bottom w:val="none" w:sz="0" w:space="0" w:color="auto"/>
        <w:right w:val="none" w:sz="0" w:space="0" w:color="auto"/>
      </w:divBdr>
    </w:div>
    <w:div w:id="1112896854">
      <w:bodyDiv w:val="1"/>
      <w:marLeft w:val="0"/>
      <w:marRight w:val="0"/>
      <w:marTop w:val="0"/>
      <w:marBottom w:val="0"/>
      <w:divBdr>
        <w:top w:val="none" w:sz="0" w:space="0" w:color="auto"/>
        <w:left w:val="none" w:sz="0" w:space="0" w:color="auto"/>
        <w:bottom w:val="none" w:sz="0" w:space="0" w:color="auto"/>
        <w:right w:val="none" w:sz="0" w:space="0" w:color="auto"/>
      </w:divBdr>
    </w:div>
    <w:div w:id="1198160608">
      <w:bodyDiv w:val="1"/>
      <w:marLeft w:val="0"/>
      <w:marRight w:val="0"/>
      <w:marTop w:val="0"/>
      <w:marBottom w:val="0"/>
      <w:divBdr>
        <w:top w:val="none" w:sz="0" w:space="0" w:color="auto"/>
        <w:left w:val="none" w:sz="0" w:space="0" w:color="auto"/>
        <w:bottom w:val="none" w:sz="0" w:space="0" w:color="auto"/>
        <w:right w:val="none" w:sz="0" w:space="0" w:color="auto"/>
      </w:divBdr>
    </w:div>
    <w:div w:id="1247031608">
      <w:bodyDiv w:val="1"/>
      <w:marLeft w:val="0"/>
      <w:marRight w:val="0"/>
      <w:marTop w:val="0"/>
      <w:marBottom w:val="0"/>
      <w:divBdr>
        <w:top w:val="none" w:sz="0" w:space="0" w:color="auto"/>
        <w:left w:val="none" w:sz="0" w:space="0" w:color="auto"/>
        <w:bottom w:val="none" w:sz="0" w:space="0" w:color="auto"/>
        <w:right w:val="none" w:sz="0" w:space="0" w:color="auto"/>
      </w:divBdr>
    </w:div>
    <w:div w:id="1278291605">
      <w:bodyDiv w:val="1"/>
      <w:marLeft w:val="0"/>
      <w:marRight w:val="0"/>
      <w:marTop w:val="0"/>
      <w:marBottom w:val="0"/>
      <w:divBdr>
        <w:top w:val="none" w:sz="0" w:space="0" w:color="auto"/>
        <w:left w:val="none" w:sz="0" w:space="0" w:color="auto"/>
        <w:bottom w:val="none" w:sz="0" w:space="0" w:color="auto"/>
        <w:right w:val="none" w:sz="0" w:space="0" w:color="auto"/>
      </w:divBdr>
    </w:div>
    <w:div w:id="1288050252">
      <w:bodyDiv w:val="1"/>
      <w:marLeft w:val="0"/>
      <w:marRight w:val="0"/>
      <w:marTop w:val="0"/>
      <w:marBottom w:val="0"/>
      <w:divBdr>
        <w:top w:val="none" w:sz="0" w:space="0" w:color="auto"/>
        <w:left w:val="none" w:sz="0" w:space="0" w:color="auto"/>
        <w:bottom w:val="none" w:sz="0" w:space="0" w:color="auto"/>
        <w:right w:val="none" w:sz="0" w:space="0" w:color="auto"/>
      </w:divBdr>
    </w:div>
    <w:div w:id="1303119502">
      <w:bodyDiv w:val="1"/>
      <w:marLeft w:val="0"/>
      <w:marRight w:val="0"/>
      <w:marTop w:val="0"/>
      <w:marBottom w:val="0"/>
      <w:divBdr>
        <w:top w:val="none" w:sz="0" w:space="0" w:color="auto"/>
        <w:left w:val="none" w:sz="0" w:space="0" w:color="auto"/>
        <w:bottom w:val="none" w:sz="0" w:space="0" w:color="auto"/>
        <w:right w:val="none" w:sz="0" w:space="0" w:color="auto"/>
      </w:divBdr>
    </w:div>
    <w:div w:id="1427850837">
      <w:bodyDiv w:val="1"/>
      <w:marLeft w:val="0"/>
      <w:marRight w:val="0"/>
      <w:marTop w:val="0"/>
      <w:marBottom w:val="0"/>
      <w:divBdr>
        <w:top w:val="none" w:sz="0" w:space="0" w:color="auto"/>
        <w:left w:val="none" w:sz="0" w:space="0" w:color="auto"/>
        <w:bottom w:val="none" w:sz="0" w:space="0" w:color="auto"/>
        <w:right w:val="none" w:sz="0" w:space="0" w:color="auto"/>
      </w:divBdr>
    </w:div>
    <w:div w:id="1495610372">
      <w:bodyDiv w:val="1"/>
      <w:marLeft w:val="0"/>
      <w:marRight w:val="0"/>
      <w:marTop w:val="0"/>
      <w:marBottom w:val="0"/>
      <w:divBdr>
        <w:top w:val="none" w:sz="0" w:space="0" w:color="auto"/>
        <w:left w:val="none" w:sz="0" w:space="0" w:color="auto"/>
        <w:bottom w:val="none" w:sz="0" w:space="0" w:color="auto"/>
        <w:right w:val="none" w:sz="0" w:space="0" w:color="auto"/>
      </w:divBdr>
    </w:div>
    <w:div w:id="1572617146">
      <w:bodyDiv w:val="1"/>
      <w:marLeft w:val="0"/>
      <w:marRight w:val="0"/>
      <w:marTop w:val="0"/>
      <w:marBottom w:val="0"/>
      <w:divBdr>
        <w:top w:val="none" w:sz="0" w:space="0" w:color="auto"/>
        <w:left w:val="none" w:sz="0" w:space="0" w:color="auto"/>
        <w:bottom w:val="none" w:sz="0" w:space="0" w:color="auto"/>
        <w:right w:val="none" w:sz="0" w:space="0" w:color="auto"/>
      </w:divBdr>
    </w:div>
    <w:div w:id="1595675302">
      <w:bodyDiv w:val="1"/>
      <w:marLeft w:val="0"/>
      <w:marRight w:val="0"/>
      <w:marTop w:val="0"/>
      <w:marBottom w:val="0"/>
      <w:divBdr>
        <w:top w:val="none" w:sz="0" w:space="0" w:color="auto"/>
        <w:left w:val="none" w:sz="0" w:space="0" w:color="auto"/>
        <w:bottom w:val="none" w:sz="0" w:space="0" w:color="auto"/>
        <w:right w:val="none" w:sz="0" w:space="0" w:color="auto"/>
      </w:divBdr>
    </w:div>
    <w:div w:id="1609973185">
      <w:bodyDiv w:val="1"/>
      <w:marLeft w:val="0"/>
      <w:marRight w:val="0"/>
      <w:marTop w:val="0"/>
      <w:marBottom w:val="0"/>
      <w:divBdr>
        <w:top w:val="none" w:sz="0" w:space="0" w:color="auto"/>
        <w:left w:val="none" w:sz="0" w:space="0" w:color="auto"/>
        <w:bottom w:val="none" w:sz="0" w:space="0" w:color="auto"/>
        <w:right w:val="none" w:sz="0" w:space="0" w:color="auto"/>
      </w:divBdr>
    </w:div>
    <w:div w:id="1711146274">
      <w:bodyDiv w:val="1"/>
      <w:marLeft w:val="0"/>
      <w:marRight w:val="0"/>
      <w:marTop w:val="0"/>
      <w:marBottom w:val="0"/>
      <w:divBdr>
        <w:top w:val="none" w:sz="0" w:space="0" w:color="auto"/>
        <w:left w:val="none" w:sz="0" w:space="0" w:color="auto"/>
        <w:bottom w:val="none" w:sz="0" w:space="0" w:color="auto"/>
        <w:right w:val="none" w:sz="0" w:space="0" w:color="auto"/>
      </w:divBdr>
    </w:div>
    <w:div w:id="1835416869">
      <w:bodyDiv w:val="1"/>
      <w:marLeft w:val="0"/>
      <w:marRight w:val="0"/>
      <w:marTop w:val="0"/>
      <w:marBottom w:val="0"/>
      <w:divBdr>
        <w:top w:val="none" w:sz="0" w:space="0" w:color="auto"/>
        <w:left w:val="none" w:sz="0" w:space="0" w:color="auto"/>
        <w:bottom w:val="none" w:sz="0" w:space="0" w:color="auto"/>
        <w:right w:val="none" w:sz="0" w:space="0" w:color="auto"/>
      </w:divBdr>
    </w:div>
    <w:div w:id="1877423428">
      <w:bodyDiv w:val="1"/>
      <w:marLeft w:val="0"/>
      <w:marRight w:val="0"/>
      <w:marTop w:val="0"/>
      <w:marBottom w:val="0"/>
      <w:divBdr>
        <w:top w:val="none" w:sz="0" w:space="0" w:color="auto"/>
        <w:left w:val="none" w:sz="0" w:space="0" w:color="auto"/>
        <w:bottom w:val="none" w:sz="0" w:space="0" w:color="auto"/>
        <w:right w:val="none" w:sz="0" w:space="0" w:color="auto"/>
      </w:divBdr>
    </w:div>
    <w:div w:id="1886525237">
      <w:bodyDiv w:val="1"/>
      <w:marLeft w:val="0"/>
      <w:marRight w:val="0"/>
      <w:marTop w:val="0"/>
      <w:marBottom w:val="0"/>
      <w:divBdr>
        <w:top w:val="none" w:sz="0" w:space="0" w:color="auto"/>
        <w:left w:val="none" w:sz="0" w:space="0" w:color="auto"/>
        <w:bottom w:val="none" w:sz="0" w:space="0" w:color="auto"/>
        <w:right w:val="none" w:sz="0" w:space="0" w:color="auto"/>
      </w:divBdr>
    </w:div>
    <w:div w:id="1956134702">
      <w:bodyDiv w:val="1"/>
      <w:marLeft w:val="0"/>
      <w:marRight w:val="0"/>
      <w:marTop w:val="0"/>
      <w:marBottom w:val="0"/>
      <w:divBdr>
        <w:top w:val="none" w:sz="0" w:space="0" w:color="auto"/>
        <w:left w:val="none" w:sz="0" w:space="0" w:color="auto"/>
        <w:bottom w:val="none" w:sz="0" w:space="0" w:color="auto"/>
        <w:right w:val="none" w:sz="0" w:space="0" w:color="auto"/>
      </w:divBdr>
    </w:div>
    <w:div w:id="20610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utah.gov/~2025/bills/static/HB0157.html" TargetMode="External"/><Relationship Id="rId21" Type="http://schemas.openxmlformats.org/officeDocument/2006/relationships/hyperlink" Target="https://le.utah.gov/~2025/bills/static/HB0136.html" TargetMode="External"/><Relationship Id="rId42" Type="http://schemas.openxmlformats.org/officeDocument/2006/relationships/hyperlink" Target="https://le.utah.gov/~2025/bills/static/HB0320.html" TargetMode="External"/><Relationship Id="rId47" Type="http://schemas.openxmlformats.org/officeDocument/2006/relationships/hyperlink" Target="https://le.utah.gov/~2025/bills/static/HB0360.html" TargetMode="External"/><Relationship Id="rId63" Type="http://schemas.openxmlformats.org/officeDocument/2006/relationships/hyperlink" Target="https://le.utah.gov/~2025/bills/static/SB0152.html" TargetMode="External"/><Relationship Id="rId68" Type="http://schemas.openxmlformats.org/officeDocument/2006/relationships/hyperlink" Target="https://le.utah.gov/~2025/bills/static/SB0197.html" TargetMode="External"/><Relationship Id="rId7" Type="http://schemas.openxmlformats.org/officeDocument/2006/relationships/hyperlink" Target="https://le.utah.gov/~2025/bills/static/HB0037.htm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utah.gov/~2025/bills/static/HB0108.html" TargetMode="External"/><Relationship Id="rId29" Type="http://schemas.openxmlformats.org/officeDocument/2006/relationships/hyperlink" Target="https://le.utah.gov/~2025/bills/static/HB0175.html" TargetMode="External"/><Relationship Id="rId11" Type="http://schemas.openxmlformats.org/officeDocument/2006/relationships/hyperlink" Target="https://le.utah.gov/~2025/bills/static/HB0090.html" TargetMode="External"/><Relationship Id="rId24" Type="http://schemas.openxmlformats.org/officeDocument/2006/relationships/hyperlink" Target="https://le.utah.gov/~2025/bills/static/HB0151.html" TargetMode="External"/><Relationship Id="rId32" Type="http://schemas.openxmlformats.org/officeDocument/2006/relationships/hyperlink" Target="https://le.utah.gov/~2025/bills/static/HB0224.html" TargetMode="External"/><Relationship Id="rId37" Type="http://schemas.openxmlformats.org/officeDocument/2006/relationships/hyperlink" Target="https://le.utah.gov/~2025/bills/static/HB0264.html" TargetMode="External"/><Relationship Id="rId40" Type="http://schemas.openxmlformats.org/officeDocument/2006/relationships/hyperlink" Target="https://le.utah.gov/~2025/bills/static/HB0327.html" TargetMode="External"/><Relationship Id="rId45" Type="http://schemas.openxmlformats.org/officeDocument/2006/relationships/hyperlink" Target="https://le.utah.gov/~2025/bills/static/HB0337.html" TargetMode="External"/><Relationship Id="rId53" Type="http://schemas.openxmlformats.org/officeDocument/2006/relationships/hyperlink" Target="https://le.utah.gov/~2025/bills/static/SB0055.html" TargetMode="External"/><Relationship Id="rId58" Type="http://schemas.openxmlformats.org/officeDocument/2006/relationships/hyperlink" Target="https://le.utah.gov/~2025/bills/static/SB0112.html" TargetMode="External"/><Relationship Id="rId66" Type="http://schemas.openxmlformats.org/officeDocument/2006/relationships/hyperlink" Target="https://le.utah.gov/~2025/bills/static/SB0183.html" TargetMode="External"/><Relationship Id="rId5" Type="http://schemas.openxmlformats.org/officeDocument/2006/relationships/endnotes" Target="endnotes.xml"/><Relationship Id="rId61" Type="http://schemas.openxmlformats.org/officeDocument/2006/relationships/hyperlink" Target="https://le.utah.gov/~2025/bills/static/SB0125.html" TargetMode="External"/><Relationship Id="rId19" Type="http://schemas.openxmlformats.org/officeDocument/2006/relationships/hyperlink" Target="https://le.utah.gov/~2025/bills/static/HB0098.html" TargetMode="External"/><Relationship Id="rId14" Type="http://schemas.openxmlformats.org/officeDocument/2006/relationships/hyperlink" Target="https://le.utah.gov/~2025/bills/static/HB0086.html" TargetMode="External"/><Relationship Id="rId22" Type="http://schemas.openxmlformats.org/officeDocument/2006/relationships/hyperlink" Target="https://le.utah.gov/~2025/bills/static/HB0149.html" TargetMode="External"/><Relationship Id="rId27" Type="http://schemas.openxmlformats.org/officeDocument/2006/relationships/hyperlink" Target="https://le.utah.gov/~2025/bills/static/HB0167.html" TargetMode="External"/><Relationship Id="rId30" Type="http://schemas.openxmlformats.org/officeDocument/2006/relationships/hyperlink" Target="https://le.utah.gov/~2025/bills/static/HB0217.html" TargetMode="External"/><Relationship Id="rId35" Type="http://schemas.openxmlformats.org/officeDocument/2006/relationships/hyperlink" Target="https://le.utah.gov/~2025/bills/static/HB0266.html" TargetMode="External"/><Relationship Id="rId43" Type="http://schemas.openxmlformats.org/officeDocument/2006/relationships/hyperlink" Target="https://le.utah.gov/~2025/bills/static/HB0329.html" TargetMode="External"/><Relationship Id="rId48" Type="http://schemas.openxmlformats.org/officeDocument/2006/relationships/hyperlink" Target="https://le.utah.gov/~2025/bills/static/HB0362.html" TargetMode="External"/><Relationship Id="rId56" Type="http://schemas.openxmlformats.org/officeDocument/2006/relationships/hyperlink" Target="https://le.utah.gov/~2025/bills/static/SB0091.html" TargetMode="External"/><Relationship Id="rId64" Type="http://schemas.openxmlformats.org/officeDocument/2006/relationships/hyperlink" Target="https://le.utah.gov/~2025/bills/static/SB0181.html" TargetMode="External"/><Relationship Id="rId69" Type="http://schemas.openxmlformats.org/officeDocument/2006/relationships/hyperlink" Target="https://le.utah.gov/~2025/bills/static/SB0201.html" TargetMode="External"/><Relationship Id="rId8" Type="http://schemas.openxmlformats.org/officeDocument/2006/relationships/hyperlink" Target="https://le.utah.gov/~2025/bills/static/HB0057.html" TargetMode="External"/><Relationship Id="rId51" Type="http://schemas.openxmlformats.org/officeDocument/2006/relationships/hyperlink" Target="https://le.utah.gov/~2025/bills/static/SB0025.html"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e.utah.gov/~2025/bills/static/HB0088.html" TargetMode="External"/><Relationship Id="rId17" Type="http://schemas.openxmlformats.org/officeDocument/2006/relationships/hyperlink" Target="https://le.utah.gov/~2025/bills/static/HB0099.html" TargetMode="External"/><Relationship Id="rId25" Type="http://schemas.openxmlformats.org/officeDocument/2006/relationships/hyperlink" Target="https://le.utah.gov/~2025/bills/static/HB0182.html" TargetMode="External"/><Relationship Id="rId33" Type="http://schemas.openxmlformats.org/officeDocument/2006/relationships/hyperlink" Target="https://le.utah.gov/~2025/bills/static/HB0256.html" TargetMode="External"/><Relationship Id="rId38" Type="http://schemas.openxmlformats.org/officeDocument/2006/relationships/hyperlink" Target="https://le.utah.gov/~2025/bills/static/HB0305.html" TargetMode="External"/><Relationship Id="rId46" Type="http://schemas.openxmlformats.org/officeDocument/2006/relationships/hyperlink" Target="https://le.utah.gov/~2025/bills/static/HB0340.html" TargetMode="External"/><Relationship Id="rId59" Type="http://schemas.openxmlformats.org/officeDocument/2006/relationships/hyperlink" Target="https://le.utah.gov/~2025/bills/static/SB0148.html" TargetMode="External"/><Relationship Id="rId67" Type="http://schemas.openxmlformats.org/officeDocument/2006/relationships/hyperlink" Target="https://le.utah.gov/~2025/bills/static/SB0189.html" TargetMode="External"/><Relationship Id="rId20" Type="http://schemas.openxmlformats.org/officeDocument/2006/relationships/hyperlink" Target="https://le.utah.gov/~2025/bills/static/HB0119.html" TargetMode="External"/><Relationship Id="rId41" Type="http://schemas.openxmlformats.org/officeDocument/2006/relationships/hyperlink" Target="https://le.utah.gov/~2025/bills/static/HCR006.html" TargetMode="External"/><Relationship Id="rId54" Type="http://schemas.openxmlformats.org/officeDocument/2006/relationships/hyperlink" Target="https://le.utah.gov/~2025/bills/static/SB0071.html" TargetMode="External"/><Relationship Id="rId62" Type="http://schemas.openxmlformats.org/officeDocument/2006/relationships/hyperlink" Target="https://le.utah.gov/~2025/bills/static/SJR003.html" TargetMode="External"/><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e.utah.gov/~2025/bills/static/HB0004.html" TargetMode="External"/><Relationship Id="rId15" Type="http://schemas.openxmlformats.org/officeDocument/2006/relationships/hyperlink" Target="https://le.utah.gov/~2025/bills/static/HB0118.html" TargetMode="External"/><Relationship Id="rId23" Type="http://schemas.openxmlformats.org/officeDocument/2006/relationships/hyperlink" Target="https://le.utah.gov/~2025/bills/static/HB0135.html" TargetMode="External"/><Relationship Id="rId28" Type="http://schemas.openxmlformats.org/officeDocument/2006/relationships/hyperlink" Target="https://le.utah.gov/~2025/bills/static/HB0199.html" TargetMode="External"/><Relationship Id="rId36" Type="http://schemas.openxmlformats.org/officeDocument/2006/relationships/hyperlink" Target="https://le.utah.gov/~2025/bills/static/HB0262.html" TargetMode="External"/><Relationship Id="rId49" Type="http://schemas.openxmlformats.org/officeDocument/2006/relationships/hyperlink" Target="https://le.utah.gov/~2025/bills/static/SB0023.html" TargetMode="External"/><Relationship Id="rId57" Type="http://schemas.openxmlformats.org/officeDocument/2006/relationships/hyperlink" Target="https://le.utah.gov/~2025/bills/static/SB0097.html" TargetMode="External"/><Relationship Id="rId10" Type="http://schemas.openxmlformats.org/officeDocument/2006/relationships/hyperlink" Target="https://le.utah.gov/~2025/bills/static/HB0062.html" TargetMode="External"/><Relationship Id="rId31" Type="http://schemas.openxmlformats.org/officeDocument/2006/relationships/hyperlink" Target="https://le.utah.gov/~2025/bills/static/HB0255.html" TargetMode="External"/><Relationship Id="rId44" Type="http://schemas.openxmlformats.org/officeDocument/2006/relationships/hyperlink" Target="https://le.utah.gov/~2025/bills/static/HB0327.html" TargetMode="External"/><Relationship Id="rId52" Type="http://schemas.openxmlformats.org/officeDocument/2006/relationships/hyperlink" Target="https://le.utah.gov/~2025/bills/static/SB0026.html" TargetMode="External"/><Relationship Id="rId60" Type="http://schemas.openxmlformats.org/officeDocument/2006/relationships/hyperlink" Target="https://le.utah.gov/~2025/bills/static/SB0121.html" TargetMode="External"/><Relationship Id="rId65" Type="http://schemas.openxmlformats.org/officeDocument/2006/relationships/hyperlink" Target="https://le.utah.gov/~2025/bills/static/SB0182.html" TargetMode="External"/><Relationship Id="rId4" Type="http://schemas.openxmlformats.org/officeDocument/2006/relationships/footnotes" Target="footnotes.xml"/><Relationship Id="rId9" Type="http://schemas.openxmlformats.org/officeDocument/2006/relationships/hyperlink" Target="https://le.utah.gov/~2025/bills/static/HB0058.html" TargetMode="External"/><Relationship Id="rId13" Type="http://schemas.openxmlformats.org/officeDocument/2006/relationships/hyperlink" Target="https://le.utah.gov/~2025/bills/static/HB0063.html" TargetMode="External"/><Relationship Id="rId18" Type="http://schemas.openxmlformats.org/officeDocument/2006/relationships/hyperlink" Target="https://le.utah.gov/~2025/bills/static/HB0126.html" TargetMode="External"/><Relationship Id="rId39" Type="http://schemas.openxmlformats.org/officeDocument/2006/relationships/hyperlink" Target="https://le.utah.gov/~2025/bills/static/HB0316.html" TargetMode="External"/><Relationship Id="rId34" Type="http://schemas.openxmlformats.org/officeDocument/2006/relationships/hyperlink" Target="https://le.utah.gov/~2025/bills/static/HB0286.html" TargetMode="External"/><Relationship Id="rId50" Type="http://schemas.openxmlformats.org/officeDocument/2006/relationships/hyperlink" Target="https://le.utah.gov/~2025/bills/static/SB0016.html" TargetMode="External"/><Relationship Id="rId55" Type="http://schemas.openxmlformats.org/officeDocument/2006/relationships/hyperlink" Target="https://le.utah.gov/~2025/bills/static/SB00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226</TotalTime>
  <Pages>12</Pages>
  <Words>6063</Words>
  <Characters>34564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Rollins</dc:creator>
  <cp:keywords/>
  <dc:description/>
  <cp:lastModifiedBy>Tara Rollins</cp:lastModifiedBy>
  <cp:revision>3</cp:revision>
  <dcterms:created xsi:type="dcterms:W3CDTF">2025-02-02T17:54:00Z</dcterms:created>
  <dcterms:modified xsi:type="dcterms:W3CDTF">2025-02-03T16:11:00Z</dcterms:modified>
</cp:coreProperties>
</file>